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080" w:type="dxa"/>
        <w:tblInd w:w="250" w:type="dxa"/>
        <w:tblLook w:val="01E0" w:firstRow="1" w:lastRow="1" w:firstColumn="1" w:lastColumn="1" w:noHBand="0" w:noVBand="0"/>
      </w:tblPr>
      <w:tblGrid>
        <w:gridCol w:w="5238"/>
        <w:gridCol w:w="2842"/>
      </w:tblGrid>
      <w:tr w:rsidR="00645A48" w:rsidRPr="00494D8C" w14:paraId="352A6140" w14:textId="5E7A5525" w:rsidTr="00645A48">
        <w:tc>
          <w:tcPr>
            <w:tcW w:w="5238" w:type="dxa"/>
          </w:tcPr>
          <w:p w14:paraId="066EEDB7" w14:textId="71FE3DAA" w:rsidR="00645A48" w:rsidRPr="00494D8C" w:rsidRDefault="00645A48" w:rsidP="00902962">
            <w:pPr>
              <w:keepNext/>
              <w:suppressAutoHyphens/>
              <w:spacing w:after="220"/>
              <w:ind w:left="-108"/>
              <w:jc w:val="left"/>
              <w:outlineLvl w:val="1"/>
              <w:rPr>
                <w:rFonts w:ascii="Times New Roman" w:eastAsia="Microsoft JhengHei" w:hAnsi="Times New Roman"/>
                <w:b/>
                <w:color w:val="000000"/>
                <w:sz w:val="20"/>
              </w:rPr>
            </w:pPr>
            <w:r w:rsidRPr="00494D8C">
              <w:rPr>
                <w:rFonts w:ascii="Times New Roman" w:eastAsia="Microsoft JhengHei" w:hAnsi="Times New Roman"/>
                <w:b/>
                <w:sz w:val="20"/>
              </w:rPr>
              <w:t xml:space="preserve">SUPPLEMENT No. 2 DATED </w:t>
            </w:r>
            <w:r w:rsidR="008A6398">
              <w:rPr>
                <w:rFonts w:ascii="Times New Roman" w:eastAsia="Microsoft JhengHei" w:hAnsi="Times New Roman"/>
                <w:b/>
                <w:sz w:val="20"/>
              </w:rPr>
              <w:t>13</w:t>
            </w:r>
            <w:r w:rsidRPr="00494D8C">
              <w:rPr>
                <w:rFonts w:ascii="Times New Roman" w:eastAsia="Microsoft JhengHei" w:hAnsi="Times New Roman"/>
                <w:b/>
                <w:sz w:val="20"/>
              </w:rPr>
              <w:t xml:space="preserve"> JULY 2023 TO THE OFFERING CIRCULAR DATED 20 APRIL 2023</w:t>
            </w:r>
          </w:p>
        </w:tc>
        <w:tc>
          <w:tcPr>
            <w:tcW w:w="2842" w:type="dxa"/>
          </w:tcPr>
          <w:p w14:paraId="68A24B29" w14:textId="77777777" w:rsidR="00645A48" w:rsidRPr="00494D8C" w:rsidRDefault="00645A48" w:rsidP="00645A48">
            <w:pPr>
              <w:keepNext/>
              <w:suppressAutoHyphens/>
              <w:spacing w:after="220"/>
              <w:outlineLvl w:val="1"/>
              <w:rPr>
                <w:rFonts w:ascii="Times New Roman" w:eastAsia="Microsoft JhengHei" w:hAnsi="Times New Roman"/>
                <w:b/>
                <w:color w:val="000000"/>
                <w:sz w:val="20"/>
              </w:rPr>
            </w:pPr>
          </w:p>
        </w:tc>
      </w:tr>
    </w:tbl>
    <w:p w14:paraId="35E1A9AB" w14:textId="77777777" w:rsidR="006A0136" w:rsidRPr="00494D8C" w:rsidRDefault="00EC1F9E" w:rsidP="00645A48">
      <w:pPr>
        <w:pStyle w:val="NormalAshurst"/>
        <w:ind w:left="567"/>
        <w:jc w:val="center"/>
        <w:rPr>
          <w:rFonts w:ascii="Times New Roman" w:hAnsi="Times New Roman" w:cs="Times New Roman"/>
          <w:color w:val="000000"/>
        </w:rPr>
      </w:pPr>
    </w:p>
    <w:p w14:paraId="2D36E1A9" w14:textId="77777777" w:rsidR="006A0136" w:rsidRPr="00494D8C" w:rsidRDefault="00CF363F" w:rsidP="006A0136">
      <w:pPr>
        <w:spacing w:after="220"/>
        <w:jc w:val="center"/>
        <w:rPr>
          <w:rFonts w:ascii="Times New Roman" w:hAnsi="Times New Roman"/>
          <w:b/>
          <w:color w:val="000000"/>
          <w:sz w:val="20"/>
        </w:rPr>
      </w:pPr>
      <w:r w:rsidRPr="00494D8C">
        <w:rPr>
          <w:rFonts w:ascii="Times New Roman" w:hAnsi="Times New Roman"/>
          <w:noProof/>
        </w:rPr>
        <w:drawing>
          <wp:inline distT="0" distB="0" distL="0" distR="0" wp14:anchorId="7988B92F" wp14:editId="0D352C46">
            <wp:extent cx="1729740" cy="4572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729740" cy="457200"/>
                    </a:xfrm>
                    <a:prstGeom prst="rect">
                      <a:avLst/>
                    </a:prstGeom>
                    <a:noFill/>
                    <a:ln>
                      <a:noFill/>
                    </a:ln>
                  </pic:spPr>
                </pic:pic>
              </a:graphicData>
            </a:graphic>
          </wp:inline>
        </w:drawing>
      </w:r>
    </w:p>
    <w:p w14:paraId="2D7BD062" w14:textId="77777777" w:rsidR="006A0136" w:rsidRPr="00494D8C" w:rsidRDefault="00CF363F" w:rsidP="006A0136">
      <w:pPr>
        <w:pStyle w:val="StandardOCAshurst"/>
        <w:jc w:val="center"/>
        <w:rPr>
          <w:b/>
        </w:rPr>
      </w:pPr>
      <w:r w:rsidRPr="00494D8C">
        <w:rPr>
          <w:b/>
        </w:rPr>
        <w:t>J.P. Morgan Structured Products B.V.</w:t>
      </w:r>
    </w:p>
    <w:p w14:paraId="01F61E17" w14:textId="77777777" w:rsidR="006A0136" w:rsidRPr="00494D8C" w:rsidRDefault="00CF363F" w:rsidP="006A0136">
      <w:pPr>
        <w:pStyle w:val="NormalOCAshurst"/>
        <w:jc w:val="center"/>
      </w:pPr>
      <w:r w:rsidRPr="00494D8C">
        <w:t>(</w:t>
      </w:r>
      <w:r w:rsidRPr="00494D8C">
        <w:rPr>
          <w:i/>
        </w:rPr>
        <w:t>incorporated with limited liability in The Netherlands</w:t>
      </w:r>
      <w:r w:rsidRPr="00494D8C">
        <w:t>)</w:t>
      </w:r>
    </w:p>
    <w:p w14:paraId="59ED0DB4" w14:textId="77777777" w:rsidR="006A0136" w:rsidRPr="00494D8C" w:rsidRDefault="00CF363F" w:rsidP="006A0136">
      <w:pPr>
        <w:pStyle w:val="NormalOCAshurst"/>
        <w:jc w:val="center"/>
      </w:pPr>
      <w:r w:rsidRPr="00494D8C">
        <w:t>as Issuer</w:t>
      </w:r>
    </w:p>
    <w:p w14:paraId="763398D1" w14:textId="77777777" w:rsidR="006A0136" w:rsidRPr="00494D8C" w:rsidRDefault="00CF363F" w:rsidP="006A0136">
      <w:pPr>
        <w:pStyle w:val="StandardOCAshurst"/>
        <w:jc w:val="center"/>
        <w:rPr>
          <w:b/>
        </w:rPr>
      </w:pPr>
      <w:r w:rsidRPr="00494D8C">
        <w:rPr>
          <w:b/>
        </w:rPr>
        <w:t>JPMorgan Chase Financial Company LLC</w:t>
      </w:r>
    </w:p>
    <w:p w14:paraId="347A8662" w14:textId="77777777" w:rsidR="006A0136" w:rsidRPr="00494D8C" w:rsidRDefault="00CF363F" w:rsidP="006A0136">
      <w:pPr>
        <w:pStyle w:val="NormalOCAshurst"/>
        <w:jc w:val="center"/>
      </w:pPr>
      <w:r w:rsidRPr="00494D8C">
        <w:t>(</w:t>
      </w:r>
      <w:r w:rsidRPr="00494D8C">
        <w:rPr>
          <w:i/>
        </w:rPr>
        <w:t>incorporated with limited liability in the State of Delaware, United States of America</w:t>
      </w:r>
      <w:r w:rsidRPr="00494D8C">
        <w:t>)</w:t>
      </w:r>
    </w:p>
    <w:p w14:paraId="5B822C33" w14:textId="77777777" w:rsidR="006A0136" w:rsidRPr="00494D8C" w:rsidRDefault="00CF363F" w:rsidP="006A0136">
      <w:pPr>
        <w:pStyle w:val="NormalOCAshurst"/>
        <w:jc w:val="center"/>
      </w:pPr>
      <w:r w:rsidRPr="00494D8C">
        <w:t>as Issuer</w:t>
      </w:r>
    </w:p>
    <w:p w14:paraId="2BE68F20" w14:textId="77777777" w:rsidR="006A0136" w:rsidRPr="00494D8C" w:rsidRDefault="00EC1F9E" w:rsidP="006A0136">
      <w:pPr>
        <w:pStyle w:val="NormalOCAshurst"/>
        <w:jc w:val="center"/>
      </w:pPr>
    </w:p>
    <w:p w14:paraId="470D75FF" w14:textId="77777777" w:rsidR="006A0136" w:rsidRPr="00494D8C" w:rsidRDefault="00CF363F" w:rsidP="006A0136">
      <w:pPr>
        <w:pStyle w:val="StandardOCAshurst"/>
        <w:jc w:val="center"/>
        <w:rPr>
          <w:b/>
        </w:rPr>
      </w:pPr>
      <w:r w:rsidRPr="00494D8C">
        <w:rPr>
          <w:b/>
        </w:rPr>
        <w:t>JPMorgan Chase Bank, N.A.</w:t>
      </w:r>
    </w:p>
    <w:p w14:paraId="6A749A64" w14:textId="77777777" w:rsidR="006A0136" w:rsidRPr="00494D8C" w:rsidRDefault="00CF363F" w:rsidP="006A0136">
      <w:pPr>
        <w:pStyle w:val="NormalOCAshurst"/>
        <w:jc w:val="center"/>
      </w:pPr>
      <w:r w:rsidRPr="00494D8C">
        <w:t>(</w:t>
      </w:r>
      <w:r w:rsidRPr="00494D8C">
        <w:rPr>
          <w:i/>
        </w:rPr>
        <w:t>a national banking association organised under the laws of the United States of America</w:t>
      </w:r>
      <w:r w:rsidRPr="00494D8C">
        <w:t>)</w:t>
      </w:r>
    </w:p>
    <w:p w14:paraId="1653D79B" w14:textId="77777777" w:rsidR="006A0136" w:rsidRPr="00494D8C" w:rsidRDefault="00CF363F" w:rsidP="006A0136">
      <w:pPr>
        <w:pStyle w:val="NormalOCAshurst"/>
        <w:spacing w:after="0"/>
        <w:jc w:val="center"/>
      </w:pPr>
      <w:r w:rsidRPr="00494D8C">
        <w:t>as Issuer and as Guarantor in respect of Securities</w:t>
      </w:r>
    </w:p>
    <w:p w14:paraId="298310A7" w14:textId="77777777" w:rsidR="006A0136" w:rsidRPr="00494D8C" w:rsidRDefault="00CF363F" w:rsidP="006A0136">
      <w:pPr>
        <w:pStyle w:val="NormalOCAshurst"/>
        <w:spacing w:after="0"/>
        <w:jc w:val="center"/>
      </w:pPr>
      <w:r w:rsidRPr="00494D8C">
        <w:t>issued by</w:t>
      </w:r>
    </w:p>
    <w:p w14:paraId="2422AB1D" w14:textId="77777777" w:rsidR="006A0136" w:rsidRPr="00494D8C" w:rsidRDefault="00CF363F" w:rsidP="006A0136">
      <w:pPr>
        <w:pStyle w:val="NormalOCAshurst"/>
        <w:jc w:val="center"/>
      </w:pPr>
      <w:r w:rsidRPr="00494D8C">
        <w:t>J.P. Morgan Structured Products B.V.</w:t>
      </w:r>
    </w:p>
    <w:p w14:paraId="610B4635" w14:textId="77777777" w:rsidR="006A0136" w:rsidRPr="00494D8C" w:rsidRDefault="00EC1F9E" w:rsidP="006A0136">
      <w:pPr>
        <w:pStyle w:val="NormalOCAshurst"/>
        <w:jc w:val="center"/>
      </w:pPr>
    </w:p>
    <w:p w14:paraId="089154D2" w14:textId="77777777" w:rsidR="006A0136" w:rsidRPr="00494D8C" w:rsidRDefault="00CF363F" w:rsidP="006A0136">
      <w:pPr>
        <w:pStyle w:val="StandardOCAshurst"/>
        <w:jc w:val="center"/>
        <w:rPr>
          <w:b/>
        </w:rPr>
      </w:pPr>
      <w:r w:rsidRPr="00494D8C">
        <w:rPr>
          <w:b/>
        </w:rPr>
        <w:t>JPMorgan Chase &amp; Co.</w:t>
      </w:r>
    </w:p>
    <w:p w14:paraId="4A6FAF8A" w14:textId="77777777" w:rsidR="006A0136" w:rsidRPr="00494D8C" w:rsidRDefault="00CF363F" w:rsidP="006A0136">
      <w:pPr>
        <w:pStyle w:val="NormalOCAshurst"/>
        <w:jc w:val="center"/>
      </w:pPr>
      <w:r w:rsidRPr="00494D8C">
        <w:t>(</w:t>
      </w:r>
      <w:r w:rsidRPr="00494D8C">
        <w:rPr>
          <w:i/>
        </w:rPr>
        <w:t>incorporated in the State of Delaware, United States of America</w:t>
      </w:r>
      <w:r w:rsidRPr="00494D8C">
        <w:t>)</w:t>
      </w:r>
    </w:p>
    <w:p w14:paraId="39AE2443" w14:textId="77777777" w:rsidR="006A0136" w:rsidRPr="00494D8C" w:rsidRDefault="00CF363F" w:rsidP="006A0136">
      <w:pPr>
        <w:pStyle w:val="NormalOCAshurst"/>
        <w:spacing w:after="0"/>
        <w:jc w:val="center"/>
      </w:pPr>
      <w:r w:rsidRPr="00494D8C">
        <w:t>as Issuer and as Guarantor in respect of Securities</w:t>
      </w:r>
    </w:p>
    <w:p w14:paraId="68B20417" w14:textId="77777777" w:rsidR="006A0136" w:rsidRPr="00494D8C" w:rsidRDefault="00CF363F" w:rsidP="006A0136">
      <w:pPr>
        <w:pStyle w:val="NormalOCAshurst"/>
        <w:spacing w:after="0"/>
        <w:jc w:val="center"/>
      </w:pPr>
      <w:r w:rsidRPr="00494D8C">
        <w:t>issued by</w:t>
      </w:r>
    </w:p>
    <w:p w14:paraId="1053D9D3" w14:textId="77777777" w:rsidR="006A0136" w:rsidRPr="00494D8C" w:rsidRDefault="00CF363F" w:rsidP="006A0136">
      <w:pPr>
        <w:pStyle w:val="NormalOCAshurst"/>
        <w:spacing w:after="0"/>
        <w:jc w:val="center"/>
      </w:pPr>
      <w:r w:rsidRPr="00494D8C">
        <w:t>JPMorgan Chase Financial Company LLC</w:t>
      </w:r>
    </w:p>
    <w:p w14:paraId="7BD8239A" w14:textId="77777777" w:rsidR="006A0136" w:rsidRPr="00494D8C" w:rsidRDefault="00EC1F9E" w:rsidP="006A0136">
      <w:pPr>
        <w:pStyle w:val="NormalOCAshurst"/>
        <w:jc w:val="center"/>
      </w:pPr>
    </w:p>
    <w:p w14:paraId="2DDAD4BD" w14:textId="77777777" w:rsidR="006A0136" w:rsidRPr="00494D8C" w:rsidRDefault="00CF363F" w:rsidP="006A0136">
      <w:pPr>
        <w:pStyle w:val="NormalOCAshurst"/>
        <w:jc w:val="center"/>
        <w:rPr>
          <w:b/>
        </w:rPr>
      </w:pPr>
      <w:r w:rsidRPr="00494D8C">
        <w:rPr>
          <w:b/>
        </w:rPr>
        <w:t>Structured Products Programme for the issuance</w:t>
      </w:r>
    </w:p>
    <w:p w14:paraId="3F203200" w14:textId="77777777" w:rsidR="006A0136" w:rsidRPr="00494D8C" w:rsidRDefault="00CF363F" w:rsidP="006A0136">
      <w:pPr>
        <w:pStyle w:val="NormalOCAshurst"/>
        <w:jc w:val="center"/>
        <w:rPr>
          <w:b/>
        </w:rPr>
      </w:pPr>
      <w:r w:rsidRPr="00494D8C">
        <w:rPr>
          <w:b/>
        </w:rPr>
        <w:t>of</w:t>
      </w:r>
    </w:p>
    <w:p w14:paraId="512AED96" w14:textId="77777777" w:rsidR="006A0136" w:rsidRPr="00494D8C" w:rsidRDefault="00CF363F" w:rsidP="006A0136">
      <w:pPr>
        <w:pStyle w:val="NormalOCAshurst"/>
        <w:jc w:val="center"/>
        <w:rPr>
          <w:b/>
        </w:rPr>
      </w:pPr>
      <w:r w:rsidRPr="00494D8C">
        <w:rPr>
          <w:b/>
        </w:rPr>
        <w:t>Notes, Warrants and Certificates</w:t>
      </w:r>
    </w:p>
    <w:p w14:paraId="76E9672F" w14:textId="77777777" w:rsidR="006A0136" w:rsidRPr="00494D8C" w:rsidRDefault="00EC1F9E" w:rsidP="006A0136">
      <w:pPr>
        <w:pStyle w:val="NormalOCAshurst"/>
        <w:jc w:val="center"/>
      </w:pPr>
    </w:p>
    <w:p w14:paraId="73287227" w14:textId="77777777" w:rsidR="006A0136" w:rsidRPr="00494D8C" w:rsidRDefault="00CF363F" w:rsidP="006A0136">
      <w:pPr>
        <w:pStyle w:val="NormalOCAshurst"/>
        <w:jc w:val="center"/>
        <w:rPr>
          <w:b/>
          <w:i/>
        </w:rPr>
      </w:pPr>
      <w:r w:rsidRPr="00494D8C">
        <w:rPr>
          <w:b/>
          <w:i/>
        </w:rPr>
        <w:t>Arranger and Dealer for the Programme</w:t>
      </w:r>
    </w:p>
    <w:p w14:paraId="71B03A93" w14:textId="77777777" w:rsidR="006A0136" w:rsidRPr="00494D8C" w:rsidRDefault="00CF363F" w:rsidP="006A0136">
      <w:pPr>
        <w:pStyle w:val="NormalOCAshurst"/>
        <w:jc w:val="center"/>
        <w:rPr>
          <w:b/>
        </w:rPr>
      </w:pPr>
      <w:r w:rsidRPr="00494D8C">
        <w:rPr>
          <w:b/>
        </w:rPr>
        <w:t>J.P. Morgan</w:t>
      </w:r>
    </w:p>
    <w:p w14:paraId="10C415B6" w14:textId="77777777" w:rsidR="006A0136" w:rsidRPr="00494D8C" w:rsidRDefault="00EC1F9E" w:rsidP="006A0136">
      <w:pPr>
        <w:pStyle w:val="NormalOCAshurst"/>
        <w:jc w:val="center"/>
        <w:rPr>
          <w:b/>
        </w:rPr>
      </w:pPr>
    </w:p>
    <w:p w14:paraId="4D81A7C8" w14:textId="77777777" w:rsidR="006A0136" w:rsidRPr="00494D8C" w:rsidRDefault="00EC1F9E" w:rsidP="006A0136">
      <w:pPr>
        <w:pStyle w:val="NormalOCAshurst"/>
        <w:jc w:val="center"/>
        <w:rPr>
          <w:b/>
        </w:rPr>
      </w:pPr>
    </w:p>
    <w:p w14:paraId="020E7422" w14:textId="77777777" w:rsidR="006A0136" w:rsidRPr="00494D8C" w:rsidRDefault="00EC1F9E" w:rsidP="006A0136">
      <w:pPr>
        <w:pStyle w:val="NormalOCAshurst"/>
        <w:jc w:val="center"/>
        <w:rPr>
          <w:b/>
          <w:color w:val="000000"/>
        </w:rPr>
      </w:pPr>
    </w:p>
    <w:p w14:paraId="7F89F2F9" w14:textId="77777777" w:rsidR="006A0136" w:rsidRPr="00494D8C" w:rsidRDefault="00EC1F9E" w:rsidP="006A0136">
      <w:pPr>
        <w:pStyle w:val="NormalOCAshurst"/>
        <w:rPr>
          <w:b/>
          <w:color w:val="000000"/>
        </w:rPr>
      </w:pPr>
    </w:p>
    <w:p w14:paraId="6A3B2442" w14:textId="77777777" w:rsidR="006A0136" w:rsidRPr="00494D8C" w:rsidRDefault="00EC1F9E" w:rsidP="006A0136">
      <w:pPr>
        <w:autoSpaceDE w:val="0"/>
        <w:autoSpaceDN w:val="0"/>
        <w:adjustRightInd w:val="0"/>
        <w:spacing w:line="240" w:lineRule="auto"/>
        <w:rPr>
          <w:rFonts w:ascii="Times New Roman" w:hAnsi="Times New Roman"/>
          <w:color w:val="000000"/>
          <w:sz w:val="20"/>
          <w:szCs w:val="20"/>
        </w:rPr>
        <w:sectPr w:rsidR="006A0136" w:rsidRPr="00494D8C" w:rsidSect="00530B13">
          <w:headerReference w:type="even" r:id="rId8"/>
          <w:headerReference w:type="default" r:id="rId9"/>
          <w:footerReference w:type="even" r:id="rId10"/>
          <w:footerReference w:type="default" r:id="rId11"/>
          <w:headerReference w:type="first" r:id="rId12"/>
          <w:footerReference w:type="first" r:id="rId13"/>
          <w:pgSz w:w="11907" w:h="16839"/>
          <w:pgMar w:top="1440" w:right="1800" w:bottom="1440" w:left="1800" w:header="708" w:footer="708" w:gutter="0"/>
          <w:paperSrc w:first="265" w:other="265"/>
          <w:cols w:space="708"/>
          <w:docGrid w:linePitch="360"/>
        </w:sectPr>
      </w:pPr>
    </w:p>
    <w:p w14:paraId="79EAD4CF" w14:textId="77777777" w:rsidR="006A0136" w:rsidRPr="00494D8C" w:rsidRDefault="00CF363F" w:rsidP="006A0136">
      <w:pPr>
        <w:pStyle w:val="NormalOCAshurst"/>
        <w:jc w:val="left"/>
        <w:rPr>
          <w:b/>
        </w:rPr>
      </w:pPr>
      <w:r w:rsidRPr="00494D8C">
        <w:rPr>
          <w:b/>
        </w:rPr>
        <w:lastRenderedPageBreak/>
        <w:t>Supplement to the Offering Circular</w:t>
      </w:r>
    </w:p>
    <w:p w14:paraId="40F30B6D" w14:textId="2CD9E985" w:rsidR="006A0136" w:rsidRPr="00494D8C" w:rsidRDefault="00CF363F" w:rsidP="006A0136">
      <w:pPr>
        <w:pStyle w:val="NormalAshurst"/>
        <w:tabs>
          <w:tab w:val="left" w:pos="5670"/>
        </w:tabs>
        <w:rPr>
          <w:rFonts w:ascii="Times New Roman" w:hAnsi="Times New Roman" w:cs="Times New Roman"/>
          <w:sz w:val="20"/>
        </w:rPr>
      </w:pPr>
      <w:r w:rsidRPr="00494D8C">
        <w:rPr>
          <w:rFonts w:ascii="Times New Roman" w:hAnsi="Times New Roman" w:cs="Times New Roman"/>
          <w:sz w:val="20"/>
        </w:rPr>
        <w:t>This supplement (the "</w:t>
      </w:r>
      <w:r w:rsidRPr="00494D8C">
        <w:rPr>
          <w:rFonts w:ascii="Times New Roman" w:hAnsi="Times New Roman" w:cs="Times New Roman"/>
          <w:b/>
          <w:sz w:val="20"/>
        </w:rPr>
        <w:t>Supplement</w:t>
      </w:r>
      <w:r w:rsidRPr="00494D8C">
        <w:rPr>
          <w:rFonts w:ascii="Times New Roman" w:hAnsi="Times New Roman" w:cs="Times New Roman"/>
          <w:sz w:val="20"/>
        </w:rPr>
        <w:t>") constitutes a supplement to the offering circular dated 2</w:t>
      </w:r>
      <w:r w:rsidR="00F13F6A" w:rsidRPr="00494D8C">
        <w:rPr>
          <w:rFonts w:ascii="Times New Roman" w:hAnsi="Times New Roman" w:cs="Times New Roman"/>
          <w:sz w:val="20"/>
        </w:rPr>
        <w:t>0</w:t>
      </w:r>
      <w:r w:rsidRPr="00494D8C">
        <w:rPr>
          <w:rFonts w:ascii="Times New Roman" w:hAnsi="Times New Roman" w:cs="Times New Roman"/>
          <w:sz w:val="20"/>
        </w:rPr>
        <w:t xml:space="preserve"> April </w:t>
      </w:r>
      <w:r w:rsidR="00F13F6A" w:rsidRPr="00494D8C">
        <w:rPr>
          <w:rFonts w:ascii="Times New Roman" w:hAnsi="Times New Roman" w:cs="Times New Roman"/>
          <w:sz w:val="20"/>
        </w:rPr>
        <w:t xml:space="preserve">2023 </w:t>
      </w:r>
      <w:r w:rsidR="00F449C7" w:rsidRPr="00494D8C">
        <w:rPr>
          <w:rFonts w:ascii="Times New Roman" w:hAnsi="Times New Roman" w:cs="Times New Roman"/>
          <w:sz w:val="20"/>
        </w:rPr>
        <w:t>(the "</w:t>
      </w:r>
      <w:r w:rsidR="00F449C7" w:rsidRPr="00494D8C">
        <w:rPr>
          <w:rFonts w:ascii="Times New Roman" w:hAnsi="Times New Roman" w:cs="Times New Roman"/>
          <w:b/>
          <w:sz w:val="20"/>
        </w:rPr>
        <w:t>Original Offering Circular</w:t>
      </w:r>
      <w:r w:rsidR="00F449C7" w:rsidRPr="00494D8C">
        <w:rPr>
          <w:rFonts w:ascii="Times New Roman" w:hAnsi="Times New Roman" w:cs="Times New Roman"/>
          <w:sz w:val="20"/>
        </w:rPr>
        <w:t>"), as supplemented by Supplement No. 1 dated 17 May 2023 (the Original Offering Circular as so supplemented, the "</w:t>
      </w:r>
      <w:r w:rsidR="00F449C7" w:rsidRPr="00494D8C">
        <w:rPr>
          <w:rFonts w:ascii="Times New Roman" w:hAnsi="Times New Roman" w:cs="Times New Roman"/>
          <w:b/>
          <w:bCs/>
          <w:sz w:val="20"/>
        </w:rPr>
        <w:t>Offering Circular</w:t>
      </w:r>
      <w:r w:rsidR="00F449C7" w:rsidRPr="00494D8C">
        <w:rPr>
          <w:rFonts w:ascii="Times New Roman" w:hAnsi="Times New Roman" w:cs="Times New Roman"/>
          <w:sz w:val="20"/>
        </w:rPr>
        <w:t xml:space="preserve">"), </w:t>
      </w:r>
      <w:r w:rsidRPr="00494D8C">
        <w:rPr>
          <w:rFonts w:ascii="Times New Roman" w:hAnsi="Times New Roman" w:cs="Times New Roman"/>
          <w:sz w:val="20"/>
        </w:rPr>
        <w:t>prepared in connection with the Note, Warrant and Certificate Programme (the "</w:t>
      </w:r>
      <w:r w:rsidRPr="00494D8C">
        <w:rPr>
          <w:rFonts w:ascii="Times New Roman" w:hAnsi="Times New Roman" w:cs="Times New Roman"/>
          <w:b/>
          <w:sz w:val="20"/>
        </w:rPr>
        <w:t>Programme</w:t>
      </w:r>
      <w:r w:rsidRPr="00494D8C">
        <w:rPr>
          <w:rFonts w:ascii="Times New Roman" w:hAnsi="Times New Roman" w:cs="Times New Roman"/>
          <w:sz w:val="20"/>
        </w:rPr>
        <w:t>") of J.P. Morgan Structured Products B.V. ("</w:t>
      </w:r>
      <w:proofErr w:type="spellStart"/>
      <w:r w:rsidRPr="00494D8C">
        <w:rPr>
          <w:rFonts w:ascii="Times New Roman" w:hAnsi="Times New Roman" w:cs="Times New Roman"/>
          <w:b/>
          <w:sz w:val="20"/>
        </w:rPr>
        <w:t>JPMSP</w:t>
      </w:r>
      <w:proofErr w:type="spellEnd"/>
      <w:r w:rsidRPr="00494D8C">
        <w:rPr>
          <w:rFonts w:ascii="Times New Roman" w:hAnsi="Times New Roman" w:cs="Times New Roman"/>
          <w:sz w:val="20"/>
        </w:rPr>
        <w:t>"), JPMorgan Chase Financial Company LLC ("</w:t>
      </w:r>
      <w:proofErr w:type="spellStart"/>
      <w:r w:rsidRPr="00494D8C">
        <w:rPr>
          <w:rFonts w:ascii="Times New Roman" w:hAnsi="Times New Roman" w:cs="Times New Roman"/>
          <w:b/>
          <w:sz w:val="20"/>
        </w:rPr>
        <w:t>JPMCFC</w:t>
      </w:r>
      <w:proofErr w:type="spellEnd"/>
      <w:r w:rsidRPr="00494D8C">
        <w:rPr>
          <w:rFonts w:ascii="Times New Roman" w:hAnsi="Times New Roman" w:cs="Times New Roman"/>
          <w:sz w:val="20"/>
        </w:rPr>
        <w:t>"), JPMorgan Chase Bank, N.A. and JPMorgan Chase &amp; Co.</w:t>
      </w:r>
    </w:p>
    <w:p w14:paraId="470A22BF" w14:textId="77777777" w:rsidR="006A0136" w:rsidRPr="00494D8C" w:rsidRDefault="00CF363F" w:rsidP="006A0136">
      <w:pPr>
        <w:pStyle w:val="NormalOCAshurst"/>
        <w:jc w:val="left"/>
        <w:rPr>
          <w:b/>
        </w:rPr>
      </w:pPr>
      <w:r w:rsidRPr="00494D8C">
        <w:rPr>
          <w:b/>
        </w:rPr>
        <w:t>Status of Supplement</w:t>
      </w:r>
    </w:p>
    <w:p w14:paraId="4230510C" w14:textId="77777777" w:rsidR="00F13F6A" w:rsidRPr="00494D8C" w:rsidRDefault="00F13F6A" w:rsidP="00F13F6A">
      <w:pPr>
        <w:pStyle w:val="NormalAshurst"/>
        <w:rPr>
          <w:rFonts w:ascii="Times New Roman" w:hAnsi="Times New Roman" w:cs="Times New Roman"/>
          <w:sz w:val="20"/>
        </w:rPr>
      </w:pPr>
      <w:r w:rsidRPr="00494D8C">
        <w:rPr>
          <w:rFonts w:ascii="Times New Roman" w:hAnsi="Times New Roman" w:cs="Times New Roman"/>
          <w:sz w:val="20"/>
        </w:rPr>
        <w:t>The Supplement is supplemental to, and shall be read in conjunction with, the Offering Circular. Unless otherwise defined in this Supplement, terms defined in the Offering Circular have the same meaning when used in this Supplement.</w:t>
      </w:r>
    </w:p>
    <w:p w14:paraId="015148AD" w14:textId="77777777" w:rsidR="00F13F6A" w:rsidRPr="00494D8C" w:rsidRDefault="00F13F6A" w:rsidP="00F13F6A">
      <w:pPr>
        <w:pStyle w:val="NormalAshurst"/>
        <w:rPr>
          <w:rFonts w:ascii="Times New Roman" w:hAnsi="Times New Roman" w:cs="Times New Roman"/>
          <w:sz w:val="20"/>
        </w:rPr>
      </w:pPr>
      <w:r w:rsidRPr="00494D8C">
        <w:rPr>
          <w:rFonts w:ascii="Times New Roman" w:hAnsi="Times New Roman" w:cs="Times New Roman"/>
          <w:sz w:val="20"/>
        </w:rPr>
        <w:t>The Supplement has been approved by Euronext Dublin pursuant to the GEM Rules and by the Luxembourg Stock Exchange pursuant to the rules and regulations of the Luxembourg Stock Exchange for the Euro MTF Market.</w:t>
      </w:r>
    </w:p>
    <w:p w14:paraId="3176C43B" w14:textId="1CE393BD" w:rsidR="007946F0" w:rsidRPr="00494D8C" w:rsidRDefault="00CF363F" w:rsidP="006A0136">
      <w:pPr>
        <w:pStyle w:val="NormalAshurst"/>
        <w:rPr>
          <w:rFonts w:ascii="Times New Roman" w:hAnsi="Times New Roman" w:cs="Times New Roman"/>
          <w:sz w:val="20"/>
        </w:rPr>
      </w:pPr>
      <w:r w:rsidRPr="00494D8C">
        <w:rPr>
          <w:rFonts w:ascii="Times New Roman" w:hAnsi="Times New Roman" w:cs="Times New Roman"/>
          <w:sz w:val="20"/>
        </w:rPr>
        <w:t>The Supplement has been filed with SIX Exchange Regulation Ltd as the competent reviewing body (the "</w:t>
      </w:r>
      <w:r w:rsidRPr="00494D8C">
        <w:rPr>
          <w:rFonts w:ascii="Times New Roman" w:hAnsi="Times New Roman" w:cs="Times New Roman"/>
          <w:b/>
          <w:bCs/>
          <w:sz w:val="20"/>
        </w:rPr>
        <w:t>Reviewing Body</w:t>
      </w:r>
      <w:r w:rsidRPr="00494D8C">
        <w:rPr>
          <w:rFonts w:ascii="Times New Roman" w:hAnsi="Times New Roman" w:cs="Times New Roman"/>
          <w:sz w:val="20"/>
        </w:rPr>
        <w:t>") under the Swiss Financial Services Act ("</w:t>
      </w:r>
      <w:proofErr w:type="spellStart"/>
      <w:r w:rsidRPr="00494D8C">
        <w:rPr>
          <w:rFonts w:ascii="Times New Roman" w:hAnsi="Times New Roman" w:cs="Times New Roman"/>
          <w:b/>
          <w:bCs/>
          <w:sz w:val="20"/>
        </w:rPr>
        <w:t>FinSA</w:t>
      </w:r>
      <w:proofErr w:type="spellEnd"/>
      <w:r w:rsidRPr="00494D8C">
        <w:rPr>
          <w:rFonts w:ascii="Times New Roman" w:hAnsi="Times New Roman" w:cs="Times New Roman"/>
          <w:sz w:val="20"/>
        </w:rPr>
        <w:t xml:space="preserve">") on </w:t>
      </w:r>
      <w:r w:rsidR="00B713C1">
        <w:rPr>
          <w:rFonts w:ascii="Times New Roman" w:hAnsi="Times New Roman" w:cs="Times New Roman"/>
          <w:sz w:val="20"/>
        </w:rPr>
        <w:t>13</w:t>
      </w:r>
      <w:r w:rsidR="005F6282" w:rsidRPr="00494D8C">
        <w:rPr>
          <w:rFonts w:ascii="Times New Roman" w:hAnsi="Times New Roman" w:cs="Times New Roman"/>
          <w:sz w:val="20"/>
        </w:rPr>
        <w:t xml:space="preserve"> July</w:t>
      </w:r>
      <w:r w:rsidRPr="00494D8C">
        <w:rPr>
          <w:rFonts w:ascii="Times New Roman" w:hAnsi="Times New Roman" w:cs="Times New Roman"/>
          <w:sz w:val="20"/>
        </w:rPr>
        <w:t xml:space="preserve"> 202</w:t>
      </w:r>
      <w:r w:rsidR="00F13F6A" w:rsidRPr="00494D8C">
        <w:rPr>
          <w:rFonts w:ascii="Times New Roman" w:hAnsi="Times New Roman" w:cs="Times New Roman"/>
          <w:sz w:val="20"/>
        </w:rPr>
        <w:t>3</w:t>
      </w:r>
      <w:r w:rsidRPr="00494D8C">
        <w:rPr>
          <w:rFonts w:ascii="Times New Roman" w:hAnsi="Times New Roman" w:cs="Times New Roman"/>
          <w:sz w:val="20"/>
        </w:rPr>
        <w:t>.</w:t>
      </w:r>
    </w:p>
    <w:p w14:paraId="3452EA72" w14:textId="77777777" w:rsidR="006A0136" w:rsidRPr="00494D8C" w:rsidRDefault="00CF363F" w:rsidP="006A0136">
      <w:pPr>
        <w:pStyle w:val="NormalOCAshurst"/>
        <w:jc w:val="left"/>
        <w:rPr>
          <w:b/>
        </w:rPr>
      </w:pPr>
      <w:r w:rsidRPr="00494D8C">
        <w:rPr>
          <w:b/>
        </w:rPr>
        <w:t>Responsibility</w:t>
      </w:r>
    </w:p>
    <w:p w14:paraId="7892A3EF" w14:textId="77777777" w:rsidR="00F13F6A" w:rsidRPr="00494D8C" w:rsidRDefault="00F13F6A" w:rsidP="00F13F6A">
      <w:pPr>
        <w:pStyle w:val="NormalAshurst"/>
        <w:rPr>
          <w:rFonts w:ascii="Times New Roman" w:hAnsi="Times New Roman" w:cs="Times New Roman"/>
          <w:sz w:val="20"/>
        </w:rPr>
      </w:pPr>
      <w:r w:rsidRPr="00494D8C">
        <w:rPr>
          <w:rFonts w:ascii="Times New Roman" w:hAnsi="Times New Roman" w:cs="Times New Roman"/>
          <w:sz w:val="20"/>
        </w:rPr>
        <w:t xml:space="preserve">Each of </w:t>
      </w:r>
      <w:proofErr w:type="spellStart"/>
      <w:r w:rsidRPr="00494D8C">
        <w:rPr>
          <w:rFonts w:ascii="Times New Roman" w:hAnsi="Times New Roman" w:cs="Times New Roman"/>
          <w:sz w:val="20"/>
        </w:rPr>
        <w:t>JPMSP</w:t>
      </w:r>
      <w:proofErr w:type="spellEnd"/>
      <w:r w:rsidRPr="00494D8C">
        <w:rPr>
          <w:rFonts w:ascii="Times New Roman" w:hAnsi="Times New Roman" w:cs="Times New Roman"/>
          <w:sz w:val="20"/>
        </w:rPr>
        <w:t xml:space="preserve">, </w:t>
      </w:r>
      <w:proofErr w:type="spellStart"/>
      <w:r w:rsidRPr="00494D8C">
        <w:rPr>
          <w:rFonts w:ascii="Times New Roman" w:hAnsi="Times New Roman" w:cs="Times New Roman"/>
          <w:sz w:val="20"/>
        </w:rPr>
        <w:t>JPMCFC</w:t>
      </w:r>
      <w:proofErr w:type="spellEnd"/>
      <w:r w:rsidRPr="00494D8C">
        <w:rPr>
          <w:rFonts w:ascii="Times New Roman" w:hAnsi="Times New Roman" w:cs="Times New Roman"/>
          <w:sz w:val="20"/>
        </w:rPr>
        <w:t xml:space="preserve">, JPMorgan Chase Bank, N.A. and JPMorgan Chase &amp; Co. accepts responsibility for the information contained in this Supplement and to the best of the knowledge of </w:t>
      </w:r>
      <w:proofErr w:type="spellStart"/>
      <w:r w:rsidRPr="00494D8C">
        <w:rPr>
          <w:rFonts w:ascii="Times New Roman" w:hAnsi="Times New Roman" w:cs="Times New Roman"/>
          <w:sz w:val="20"/>
        </w:rPr>
        <w:t>JPMSP</w:t>
      </w:r>
      <w:proofErr w:type="spellEnd"/>
      <w:r w:rsidRPr="00494D8C">
        <w:rPr>
          <w:rFonts w:ascii="Times New Roman" w:hAnsi="Times New Roman" w:cs="Times New Roman"/>
          <w:sz w:val="20"/>
        </w:rPr>
        <w:t xml:space="preserve">, </w:t>
      </w:r>
      <w:proofErr w:type="spellStart"/>
      <w:r w:rsidRPr="00494D8C">
        <w:rPr>
          <w:rFonts w:ascii="Times New Roman" w:hAnsi="Times New Roman" w:cs="Times New Roman"/>
          <w:sz w:val="20"/>
        </w:rPr>
        <w:t>JPMCFC</w:t>
      </w:r>
      <w:proofErr w:type="spellEnd"/>
      <w:r w:rsidRPr="00494D8C">
        <w:rPr>
          <w:rFonts w:ascii="Times New Roman" w:hAnsi="Times New Roman" w:cs="Times New Roman"/>
          <w:sz w:val="20"/>
        </w:rPr>
        <w:t>, JPMorgan Chase Bank, N.A. and JPMorgan Chase &amp; Co. (each having taken all reasonable care to ensure that such is the case), the information contained in this Supplement is in accordance with the facts and does not omit anything likely to affect the import of such information.</w:t>
      </w:r>
    </w:p>
    <w:p w14:paraId="4463C94A" w14:textId="77777777" w:rsidR="006A0136" w:rsidRPr="00494D8C" w:rsidRDefault="00CF363F" w:rsidP="006A0136">
      <w:pPr>
        <w:pStyle w:val="NormalAshurst"/>
        <w:rPr>
          <w:rFonts w:ascii="Times New Roman" w:hAnsi="Times New Roman" w:cs="Times New Roman"/>
          <w:b/>
          <w:sz w:val="20"/>
        </w:rPr>
      </w:pPr>
      <w:r w:rsidRPr="00494D8C">
        <w:rPr>
          <w:rFonts w:ascii="Times New Roman" w:hAnsi="Times New Roman" w:cs="Times New Roman"/>
          <w:b/>
          <w:sz w:val="20"/>
        </w:rPr>
        <w:t>Purpose of Supplement</w:t>
      </w:r>
    </w:p>
    <w:p w14:paraId="432E041C" w14:textId="729845BE" w:rsidR="006A0136" w:rsidRPr="00494D8C" w:rsidRDefault="00CF363F" w:rsidP="009A7073">
      <w:pPr>
        <w:pStyle w:val="NormalAshurst"/>
        <w:rPr>
          <w:rFonts w:ascii="Times New Roman" w:hAnsi="Times New Roman" w:cs="Times New Roman"/>
          <w:sz w:val="20"/>
        </w:rPr>
      </w:pPr>
      <w:r w:rsidRPr="00494D8C">
        <w:rPr>
          <w:rFonts w:ascii="Times New Roman" w:hAnsi="Times New Roman" w:cs="Times New Roman"/>
          <w:sz w:val="20"/>
        </w:rPr>
        <w:t>The purpose of this Supplement is to</w:t>
      </w:r>
      <w:r w:rsidR="00BE0DAE" w:rsidRPr="00494D8C">
        <w:rPr>
          <w:rFonts w:ascii="Times New Roman" w:hAnsi="Times New Roman" w:cs="Times New Roman"/>
          <w:sz w:val="20"/>
        </w:rPr>
        <w:t xml:space="preserve"> </w:t>
      </w:r>
      <w:r w:rsidR="00FD5AB9" w:rsidRPr="00494D8C">
        <w:rPr>
          <w:rFonts w:ascii="Times New Roman" w:hAnsi="Times New Roman" w:cs="Times New Roman"/>
          <w:sz w:val="20"/>
        </w:rPr>
        <w:t xml:space="preserve">(a) incorporate by reference into the Offering Circular the Supplement No. 2 to the Registration Document of JPMorgan Chase &amp; Co., the Supplement No. 2 to the Registration Document of JPMorgan Chase Bank, N.A., the Supplement No. 2 to the Registration Document of </w:t>
      </w:r>
      <w:proofErr w:type="spellStart"/>
      <w:r w:rsidR="00FD5AB9" w:rsidRPr="00494D8C">
        <w:rPr>
          <w:rFonts w:ascii="Times New Roman" w:hAnsi="Times New Roman" w:cs="Times New Roman"/>
          <w:sz w:val="20"/>
        </w:rPr>
        <w:t>JPMCFC</w:t>
      </w:r>
      <w:proofErr w:type="spellEnd"/>
      <w:r w:rsidR="00FD5AB9" w:rsidRPr="00494D8C">
        <w:rPr>
          <w:rFonts w:ascii="Times New Roman" w:hAnsi="Times New Roman" w:cs="Times New Roman"/>
          <w:sz w:val="20"/>
        </w:rPr>
        <w:t xml:space="preserve"> and the Supplement No. 1 to the Registration Document of </w:t>
      </w:r>
      <w:proofErr w:type="spellStart"/>
      <w:r w:rsidR="00FD5AB9" w:rsidRPr="00494D8C">
        <w:rPr>
          <w:rFonts w:ascii="Times New Roman" w:hAnsi="Times New Roman" w:cs="Times New Roman"/>
          <w:sz w:val="20"/>
        </w:rPr>
        <w:t>JPMSP</w:t>
      </w:r>
      <w:proofErr w:type="spellEnd"/>
      <w:r w:rsidR="00FD5AB9" w:rsidRPr="00494D8C">
        <w:rPr>
          <w:rFonts w:ascii="Times New Roman" w:hAnsi="Times New Roman" w:cs="Times New Roman"/>
          <w:sz w:val="20"/>
        </w:rPr>
        <w:t xml:space="preserve"> (each as defined below) and (b) amend and supplement the information in the sections entitled </w:t>
      </w:r>
      <w:bookmarkStart w:id="0" w:name="_Hlk138157338"/>
      <w:r w:rsidR="00FD5AB9" w:rsidRPr="00494D8C">
        <w:rPr>
          <w:rFonts w:ascii="Times New Roman" w:hAnsi="Times New Roman" w:cs="Times New Roman"/>
          <w:sz w:val="20"/>
        </w:rPr>
        <w:t>"Risk Factors", "General Conditions", "Form of Pricing Supplement", "Use of Proceeds"</w:t>
      </w:r>
      <w:r w:rsidR="008F7826" w:rsidRPr="00494D8C">
        <w:rPr>
          <w:rFonts w:ascii="Times New Roman" w:hAnsi="Times New Roman" w:cs="Times New Roman"/>
          <w:sz w:val="20"/>
        </w:rPr>
        <w:t>,</w:t>
      </w:r>
      <w:r w:rsidR="00FD5AB9" w:rsidRPr="00494D8C">
        <w:rPr>
          <w:rFonts w:ascii="Times New Roman" w:hAnsi="Times New Roman" w:cs="Times New Roman"/>
          <w:sz w:val="20"/>
        </w:rPr>
        <w:t xml:space="preserve"> "Information relating to Sustainable Securities"</w:t>
      </w:r>
      <w:r w:rsidR="00FA458E" w:rsidRPr="00494D8C">
        <w:rPr>
          <w:rFonts w:ascii="Times New Roman" w:hAnsi="Times New Roman" w:cs="Times New Roman"/>
          <w:sz w:val="20"/>
        </w:rPr>
        <w:t>, "Purchaser Representations and Requirements and Transfer Restrictions", "Taxation"</w:t>
      </w:r>
      <w:r w:rsidR="008F7826" w:rsidRPr="00494D8C">
        <w:rPr>
          <w:rFonts w:ascii="Times New Roman" w:hAnsi="Times New Roman" w:cs="Times New Roman"/>
          <w:sz w:val="20"/>
        </w:rPr>
        <w:t xml:space="preserve"> and "General Information"</w:t>
      </w:r>
      <w:r w:rsidR="00FD5AB9" w:rsidRPr="00494D8C">
        <w:rPr>
          <w:rFonts w:ascii="Times New Roman" w:hAnsi="Times New Roman" w:cs="Times New Roman"/>
          <w:sz w:val="20"/>
        </w:rPr>
        <w:t xml:space="preserve"> </w:t>
      </w:r>
      <w:bookmarkEnd w:id="0"/>
      <w:r w:rsidR="00FD5AB9" w:rsidRPr="00494D8C">
        <w:rPr>
          <w:rFonts w:ascii="Times New Roman" w:hAnsi="Times New Roman" w:cs="Times New Roman"/>
          <w:sz w:val="20"/>
        </w:rPr>
        <w:t xml:space="preserve">in the </w:t>
      </w:r>
      <w:r w:rsidR="0076470E" w:rsidRPr="00494D8C">
        <w:rPr>
          <w:rFonts w:ascii="Times New Roman" w:hAnsi="Times New Roman" w:cs="Times New Roman"/>
          <w:sz w:val="20"/>
        </w:rPr>
        <w:t>Offering Circular.</w:t>
      </w:r>
    </w:p>
    <w:p w14:paraId="5760730C" w14:textId="77777777" w:rsidR="006A0136" w:rsidRPr="00494D8C" w:rsidRDefault="00CF363F" w:rsidP="006A0136">
      <w:pPr>
        <w:pStyle w:val="NormalAshurst"/>
        <w:rPr>
          <w:rFonts w:ascii="Times New Roman" w:hAnsi="Times New Roman" w:cs="Times New Roman"/>
          <w:b/>
          <w:sz w:val="20"/>
        </w:rPr>
      </w:pPr>
      <w:r w:rsidRPr="00494D8C">
        <w:rPr>
          <w:rFonts w:ascii="Times New Roman" w:hAnsi="Times New Roman" w:cs="Times New Roman"/>
          <w:b/>
          <w:sz w:val="20"/>
        </w:rPr>
        <w:t>Information being supplemented</w:t>
      </w:r>
    </w:p>
    <w:p w14:paraId="2A2A7B23" w14:textId="77777777" w:rsidR="006A0136" w:rsidRPr="00494D8C" w:rsidRDefault="00CF363F" w:rsidP="006A0136">
      <w:pPr>
        <w:pStyle w:val="NormalAshurst"/>
        <w:ind w:left="567" w:hanging="567"/>
        <w:rPr>
          <w:rFonts w:ascii="Times New Roman" w:hAnsi="Times New Roman" w:cs="Times New Roman"/>
          <w:b/>
          <w:sz w:val="20"/>
        </w:rPr>
      </w:pPr>
      <w:r w:rsidRPr="00494D8C">
        <w:rPr>
          <w:rFonts w:ascii="Times New Roman" w:hAnsi="Times New Roman" w:cs="Times New Roman"/>
          <w:b/>
          <w:sz w:val="20"/>
        </w:rPr>
        <w:t>I.</w:t>
      </w:r>
      <w:r w:rsidRPr="00494D8C">
        <w:rPr>
          <w:rFonts w:ascii="Times New Roman" w:hAnsi="Times New Roman" w:cs="Times New Roman"/>
          <w:b/>
          <w:sz w:val="20"/>
        </w:rPr>
        <w:tab/>
        <w:t xml:space="preserve">Incorporation by reference </w:t>
      </w:r>
    </w:p>
    <w:p w14:paraId="3AC2B725" w14:textId="77777777" w:rsidR="00EA0EBF" w:rsidRPr="00494D8C" w:rsidRDefault="00CF363F" w:rsidP="005A4F5C">
      <w:pPr>
        <w:pStyle w:val="NormalAshurst"/>
        <w:ind w:left="567"/>
        <w:rPr>
          <w:rFonts w:ascii="Times New Roman" w:hAnsi="Times New Roman" w:cs="Times New Roman"/>
          <w:sz w:val="20"/>
        </w:rPr>
      </w:pPr>
      <w:r w:rsidRPr="00494D8C">
        <w:rPr>
          <w:rFonts w:ascii="Times New Roman" w:hAnsi="Times New Roman" w:cs="Times New Roman"/>
          <w:sz w:val="20"/>
        </w:rPr>
        <w:t>This Supplement incorporates by reference the following documents into the Offering Circular:</w:t>
      </w:r>
    </w:p>
    <w:p w14:paraId="5AF8E094" w14:textId="57987746" w:rsidR="006A0136" w:rsidRPr="00494D8C" w:rsidRDefault="0076470E" w:rsidP="00ED4B71">
      <w:pPr>
        <w:numPr>
          <w:ilvl w:val="0"/>
          <w:numId w:val="36"/>
        </w:numPr>
        <w:ind w:left="1259" w:hanging="692"/>
        <w:rPr>
          <w:rFonts w:ascii="Times New Roman" w:hAnsi="Times New Roman"/>
          <w:sz w:val="20"/>
        </w:rPr>
      </w:pPr>
      <w:r w:rsidRPr="00494D8C">
        <w:rPr>
          <w:rFonts w:ascii="Times New Roman" w:hAnsi="Times New Roman"/>
          <w:sz w:val="20"/>
        </w:rPr>
        <w:t xml:space="preserve">Supplement No. 2 dated </w:t>
      </w:r>
      <w:r w:rsidR="00B713C1">
        <w:rPr>
          <w:rFonts w:ascii="Times New Roman" w:hAnsi="Times New Roman"/>
          <w:sz w:val="20"/>
        </w:rPr>
        <w:t>12</w:t>
      </w:r>
      <w:r w:rsidRPr="00494D8C">
        <w:rPr>
          <w:rFonts w:ascii="Times New Roman" w:hAnsi="Times New Roman"/>
          <w:sz w:val="20"/>
        </w:rPr>
        <w:t xml:space="preserve"> July 2023 to the Registration Document dated 19 April 2023 of JPMorgan Chase &amp; Co. ("</w:t>
      </w:r>
      <w:r w:rsidRPr="00494D8C">
        <w:rPr>
          <w:rFonts w:ascii="Times New Roman" w:hAnsi="Times New Roman"/>
          <w:b/>
          <w:bCs/>
          <w:sz w:val="20"/>
        </w:rPr>
        <w:t>Supplement No. 2 to the Registration Document of JPMorgan Chase &amp; Co.</w:t>
      </w:r>
      <w:r w:rsidRPr="00494D8C">
        <w:rPr>
          <w:rFonts w:ascii="Times New Roman" w:hAnsi="Times New Roman"/>
          <w:sz w:val="20"/>
        </w:rPr>
        <w:t>");</w:t>
      </w:r>
    </w:p>
    <w:p w14:paraId="7565A4D7" w14:textId="77777777" w:rsidR="0076470E" w:rsidRPr="00494D8C" w:rsidRDefault="0076470E" w:rsidP="0076470E">
      <w:pPr>
        <w:ind w:left="1259"/>
        <w:rPr>
          <w:rFonts w:ascii="Times New Roman" w:hAnsi="Times New Roman"/>
          <w:sz w:val="20"/>
        </w:rPr>
      </w:pPr>
    </w:p>
    <w:p w14:paraId="7566118C" w14:textId="1051EF9F" w:rsidR="0076470E" w:rsidRPr="00494D8C" w:rsidRDefault="0076470E" w:rsidP="00ED4B71">
      <w:pPr>
        <w:numPr>
          <w:ilvl w:val="0"/>
          <w:numId w:val="36"/>
        </w:numPr>
        <w:ind w:left="1259" w:hanging="692"/>
        <w:rPr>
          <w:rFonts w:ascii="Times New Roman" w:hAnsi="Times New Roman"/>
          <w:sz w:val="20"/>
        </w:rPr>
      </w:pPr>
      <w:r w:rsidRPr="00494D8C">
        <w:rPr>
          <w:rFonts w:ascii="Times New Roman" w:hAnsi="Times New Roman"/>
          <w:sz w:val="20"/>
        </w:rPr>
        <w:t xml:space="preserve">Supplement No. 2 dated </w:t>
      </w:r>
      <w:r w:rsidR="00B713C1">
        <w:rPr>
          <w:rFonts w:ascii="Times New Roman" w:hAnsi="Times New Roman"/>
          <w:sz w:val="20"/>
        </w:rPr>
        <w:t>12</w:t>
      </w:r>
      <w:r w:rsidRPr="00494D8C">
        <w:rPr>
          <w:rFonts w:ascii="Times New Roman" w:hAnsi="Times New Roman"/>
          <w:sz w:val="20"/>
        </w:rPr>
        <w:t xml:space="preserve"> July 2023 to the Registration Document dated 19 April 2023 of JPMorgan Chase Bank, N.A. ("</w:t>
      </w:r>
      <w:r w:rsidRPr="00494D8C">
        <w:rPr>
          <w:rFonts w:ascii="Times New Roman" w:hAnsi="Times New Roman"/>
          <w:b/>
          <w:bCs/>
          <w:sz w:val="20"/>
        </w:rPr>
        <w:t>Supplement No. 2 to the Registration Document of JPMorgan Chase Bank, N.A.</w:t>
      </w:r>
      <w:r w:rsidRPr="00494D8C">
        <w:rPr>
          <w:rFonts w:ascii="Times New Roman" w:hAnsi="Times New Roman"/>
          <w:sz w:val="20"/>
        </w:rPr>
        <w:t>");</w:t>
      </w:r>
    </w:p>
    <w:p w14:paraId="19321664" w14:textId="77777777" w:rsidR="0076470E" w:rsidRPr="00494D8C" w:rsidRDefault="0076470E" w:rsidP="0076470E">
      <w:pPr>
        <w:ind w:left="1259"/>
        <w:rPr>
          <w:rFonts w:ascii="Times New Roman" w:hAnsi="Times New Roman"/>
          <w:sz w:val="20"/>
        </w:rPr>
      </w:pPr>
    </w:p>
    <w:p w14:paraId="2AF21BFC" w14:textId="02428A8A" w:rsidR="0076470E" w:rsidRPr="00494D8C" w:rsidRDefault="0076470E" w:rsidP="00ED4B71">
      <w:pPr>
        <w:numPr>
          <w:ilvl w:val="0"/>
          <w:numId w:val="36"/>
        </w:numPr>
        <w:ind w:left="1259" w:hanging="692"/>
        <w:rPr>
          <w:rFonts w:ascii="Times New Roman" w:hAnsi="Times New Roman"/>
          <w:sz w:val="20"/>
        </w:rPr>
      </w:pPr>
      <w:r w:rsidRPr="00494D8C">
        <w:rPr>
          <w:rFonts w:ascii="Times New Roman" w:hAnsi="Times New Roman"/>
          <w:sz w:val="20"/>
        </w:rPr>
        <w:t xml:space="preserve">Supplement No. 2 dated </w:t>
      </w:r>
      <w:r w:rsidR="00B713C1">
        <w:rPr>
          <w:rFonts w:ascii="Times New Roman" w:hAnsi="Times New Roman"/>
          <w:sz w:val="20"/>
        </w:rPr>
        <w:t>12</w:t>
      </w:r>
      <w:r w:rsidRPr="00494D8C">
        <w:rPr>
          <w:rFonts w:ascii="Times New Roman" w:hAnsi="Times New Roman"/>
          <w:sz w:val="20"/>
        </w:rPr>
        <w:t xml:space="preserve"> July 2023 to the Registration Document dated 19 April 2023 of </w:t>
      </w:r>
      <w:proofErr w:type="spellStart"/>
      <w:r w:rsidRPr="00494D8C">
        <w:rPr>
          <w:rFonts w:ascii="Times New Roman" w:hAnsi="Times New Roman"/>
          <w:sz w:val="20"/>
        </w:rPr>
        <w:t>JPMCFC</w:t>
      </w:r>
      <w:proofErr w:type="spellEnd"/>
      <w:r w:rsidRPr="00494D8C">
        <w:rPr>
          <w:rFonts w:ascii="Times New Roman" w:hAnsi="Times New Roman"/>
          <w:sz w:val="20"/>
        </w:rPr>
        <w:t xml:space="preserve"> ("</w:t>
      </w:r>
      <w:r w:rsidRPr="00494D8C">
        <w:rPr>
          <w:rFonts w:ascii="Times New Roman" w:hAnsi="Times New Roman"/>
          <w:b/>
          <w:bCs/>
          <w:sz w:val="20"/>
        </w:rPr>
        <w:t xml:space="preserve">Supplement No. 2 to the Registration Document of </w:t>
      </w:r>
      <w:proofErr w:type="spellStart"/>
      <w:r w:rsidRPr="00494D8C">
        <w:rPr>
          <w:rFonts w:ascii="Times New Roman" w:hAnsi="Times New Roman"/>
          <w:b/>
          <w:bCs/>
          <w:sz w:val="20"/>
        </w:rPr>
        <w:t>JPMCFC</w:t>
      </w:r>
      <w:proofErr w:type="spellEnd"/>
      <w:r w:rsidRPr="00494D8C">
        <w:rPr>
          <w:rFonts w:ascii="Times New Roman" w:hAnsi="Times New Roman"/>
          <w:sz w:val="20"/>
        </w:rPr>
        <w:t>"); and</w:t>
      </w:r>
    </w:p>
    <w:p w14:paraId="13618F56" w14:textId="77777777" w:rsidR="00471E6B" w:rsidRPr="00494D8C" w:rsidRDefault="00471E6B" w:rsidP="00471E6B">
      <w:pPr>
        <w:pStyle w:val="StandardAshurst"/>
        <w:rPr>
          <w:rFonts w:ascii="Times New Roman" w:hAnsi="Times New Roman" w:cs="Times New Roman"/>
        </w:rPr>
      </w:pPr>
    </w:p>
    <w:p w14:paraId="18CC7B50" w14:textId="17CAC16D" w:rsidR="00EA0EBF" w:rsidRPr="00494D8C" w:rsidRDefault="0076470E" w:rsidP="00ED4B71">
      <w:pPr>
        <w:numPr>
          <w:ilvl w:val="0"/>
          <w:numId w:val="36"/>
        </w:numPr>
        <w:spacing w:after="220"/>
        <w:ind w:left="1259" w:hanging="692"/>
        <w:rPr>
          <w:rFonts w:ascii="Times New Roman" w:hAnsi="Times New Roman"/>
          <w:sz w:val="20"/>
        </w:rPr>
      </w:pPr>
      <w:r w:rsidRPr="00494D8C">
        <w:rPr>
          <w:rFonts w:ascii="Times New Roman" w:hAnsi="Times New Roman"/>
          <w:sz w:val="20"/>
        </w:rPr>
        <w:lastRenderedPageBreak/>
        <w:t xml:space="preserve">Supplement No. 1 dated </w:t>
      </w:r>
      <w:r w:rsidR="00B713C1">
        <w:rPr>
          <w:rFonts w:ascii="Times New Roman" w:hAnsi="Times New Roman"/>
          <w:sz w:val="20"/>
        </w:rPr>
        <w:t>12</w:t>
      </w:r>
      <w:r w:rsidRPr="00494D8C">
        <w:rPr>
          <w:rFonts w:ascii="Times New Roman" w:hAnsi="Times New Roman"/>
          <w:sz w:val="20"/>
        </w:rPr>
        <w:t xml:space="preserve"> July 2023 to the Registration Document dated 19 April 2023 of </w:t>
      </w:r>
      <w:proofErr w:type="spellStart"/>
      <w:r w:rsidRPr="00494D8C">
        <w:rPr>
          <w:rFonts w:ascii="Times New Roman" w:hAnsi="Times New Roman"/>
          <w:sz w:val="20"/>
        </w:rPr>
        <w:t>JPMSP</w:t>
      </w:r>
      <w:proofErr w:type="spellEnd"/>
      <w:r w:rsidRPr="00494D8C">
        <w:rPr>
          <w:rFonts w:ascii="Times New Roman" w:hAnsi="Times New Roman"/>
          <w:sz w:val="20"/>
        </w:rPr>
        <w:t xml:space="preserve"> ("</w:t>
      </w:r>
      <w:r w:rsidRPr="00494D8C">
        <w:rPr>
          <w:rFonts w:ascii="Times New Roman" w:hAnsi="Times New Roman"/>
          <w:b/>
          <w:bCs/>
          <w:sz w:val="20"/>
        </w:rPr>
        <w:t xml:space="preserve">Supplement No. 1 to the Registration Document of </w:t>
      </w:r>
      <w:proofErr w:type="spellStart"/>
      <w:r w:rsidRPr="00494D8C">
        <w:rPr>
          <w:rFonts w:ascii="Times New Roman" w:hAnsi="Times New Roman"/>
          <w:b/>
          <w:bCs/>
          <w:sz w:val="20"/>
        </w:rPr>
        <w:t>JPMSP</w:t>
      </w:r>
      <w:proofErr w:type="spellEnd"/>
      <w:r w:rsidRPr="00494D8C">
        <w:rPr>
          <w:rFonts w:ascii="Times New Roman" w:hAnsi="Times New Roman"/>
          <w:sz w:val="20"/>
        </w:rPr>
        <w:t>")</w:t>
      </w:r>
      <w:r w:rsidR="00CF363F" w:rsidRPr="00494D8C">
        <w:rPr>
          <w:rFonts w:ascii="Times New Roman" w:hAnsi="Times New Roman"/>
          <w:sz w:val="20"/>
        </w:rPr>
        <w:t>.</w:t>
      </w:r>
    </w:p>
    <w:tbl>
      <w:tblPr>
        <w:tblW w:w="8363" w:type="dxa"/>
        <w:tblInd w:w="709" w:type="dxa"/>
        <w:tblLook w:val="01E0" w:firstRow="1" w:lastRow="1" w:firstColumn="1" w:lastColumn="1" w:noHBand="0" w:noVBand="0"/>
      </w:tblPr>
      <w:tblGrid>
        <w:gridCol w:w="6237"/>
        <w:gridCol w:w="2126"/>
      </w:tblGrid>
      <w:tr w:rsidR="0076470E" w:rsidRPr="00494D8C" w14:paraId="6D3A1FB9" w14:textId="77777777" w:rsidTr="0076470E">
        <w:tc>
          <w:tcPr>
            <w:tcW w:w="6237" w:type="dxa"/>
          </w:tcPr>
          <w:p w14:paraId="6040D5D2" w14:textId="77777777" w:rsidR="0076470E" w:rsidRPr="00494D8C" w:rsidRDefault="0076470E" w:rsidP="00115DA2">
            <w:pPr>
              <w:suppressAutoHyphens/>
              <w:spacing w:line="288" w:lineRule="auto"/>
              <w:rPr>
                <w:rFonts w:ascii="Times New Roman" w:hAnsi="Times New Roman"/>
                <w:b/>
                <w:sz w:val="20"/>
                <w:szCs w:val="20"/>
              </w:rPr>
            </w:pPr>
            <w:r w:rsidRPr="00494D8C">
              <w:rPr>
                <w:rFonts w:ascii="Times New Roman" w:hAnsi="Times New Roman"/>
                <w:b/>
                <w:sz w:val="20"/>
                <w:szCs w:val="20"/>
              </w:rPr>
              <w:t>Information incorporated by reference</w:t>
            </w:r>
          </w:p>
        </w:tc>
        <w:tc>
          <w:tcPr>
            <w:tcW w:w="2126" w:type="dxa"/>
            <w:hideMark/>
          </w:tcPr>
          <w:p w14:paraId="3257CC01" w14:textId="26729B1E" w:rsidR="0076470E" w:rsidRPr="00494D8C" w:rsidRDefault="0076470E" w:rsidP="00115DA2">
            <w:pPr>
              <w:suppressAutoHyphens/>
              <w:spacing w:line="288" w:lineRule="auto"/>
              <w:jc w:val="right"/>
              <w:rPr>
                <w:rFonts w:ascii="Times New Roman" w:hAnsi="Times New Roman"/>
                <w:b/>
                <w:sz w:val="20"/>
                <w:szCs w:val="20"/>
              </w:rPr>
            </w:pPr>
            <w:r w:rsidRPr="00494D8C">
              <w:rPr>
                <w:rFonts w:ascii="Times New Roman" w:hAnsi="Times New Roman"/>
                <w:b/>
                <w:sz w:val="20"/>
                <w:szCs w:val="20"/>
              </w:rPr>
              <w:t xml:space="preserve">Page Number </w:t>
            </w:r>
          </w:p>
        </w:tc>
      </w:tr>
      <w:tr w:rsidR="0076470E" w:rsidRPr="00494D8C" w14:paraId="283A0205" w14:textId="77777777" w:rsidTr="0076470E">
        <w:trPr>
          <w:trHeight w:val="430"/>
        </w:trPr>
        <w:tc>
          <w:tcPr>
            <w:tcW w:w="6237" w:type="dxa"/>
          </w:tcPr>
          <w:p w14:paraId="69DFE27B" w14:textId="77777777" w:rsidR="0076470E" w:rsidRPr="00494D8C" w:rsidRDefault="0076470E" w:rsidP="00115DA2">
            <w:pPr>
              <w:pStyle w:val="NormalAshurst"/>
              <w:spacing w:after="0" w:line="288" w:lineRule="auto"/>
              <w:rPr>
                <w:rFonts w:ascii="Times New Roman" w:hAnsi="Times New Roman" w:cs="Times New Roman"/>
                <w:sz w:val="20"/>
                <w:szCs w:val="20"/>
              </w:rPr>
            </w:pPr>
            <w:r w:rsidRPr="00494D8C">
              <w:rPr>
                <w:rFonts w:ascii="Times New Roman" w:hAnsi="Times New Roman" w:cs="Times New Roman"/>
                <w:b/>
                <w:i/>
                <w:sz w:val="20"/>
                <w:szCs w:val="20"/>
              </w:rPr>
              <w:t>From Supplement No. 2 to the Registration Document of JPMorgan</w:t>
            </w:r>
            <w:r w:rsidRPr="00494D8C">
              <w:rPr>
                <w:rFonts w:ascii="Times New Roman" w:hAnsi="Times New Roman" w:cs="Times New Roman"/>
                <w:sz w:val="20"/>
                <w:szCs w:val="20"/>
                <w:lang w:eastAsia="zh-CN"/>
              </w:rPr>
              <w:t xml:space="preserve"> </w:t>
            </w:r>
            <w:r w:rsidRPr="00494D8C">
              <w:rPr>
                <w:rFonts w:ascii="Times New Roman" w:hAnsi="Times New Roman" w:cs="Times New Roman"/>
                <w:b/>
                <w:i/>
                <w:sz w:val="20"/>
                <w:szCs w:val="20"/>
              </w:rPr>
              <w:t xml:space="preserve">Chase &amp; Co. </w:t>
            </w:r>
          </w:p>
        </w:tc>
        <w:tc>
          <w:tcPr>
            <w:tcW w:w="2126" w:type="dxa"/>
          </w:tcPr>
          <w:p w14:paraId="4D0086A3" w14:textId="77777777" w:rsidR="0076470E" w:rsidRPr="00494D8C" w:rsidRDefault="0076470E" w:rsidP="00115DA2">
            <w:pPr>
              <w:pStyle w:val="NormalAshurst"/>
              <w:spacing w:after="0" w:line="288" w:lineRule="auto"/>
              <w:jc w:val="right"/>
              <w:rPr>
                <w:rFonts w:ascii="Times New Roman" w:hAnsi="Times New Roman" w:cs="Times New Roman"/>
                <w:sz w:val="20"/>
                <w:szCs w:val="20"/>
              </w:rPr>
            </w:pPr>
          </w:p>
        </w:tc>
      </w:tr>
      <w:tr w:rsidR="0076470E" w:rsidRPr="00494D8C" w14:paraId="43DE27F4" w14:textId="77777777" w:rsidTr="0076470E">
        <w:trPr>
          <w:trHeight w:val="430"/>
        </w:trPr>
        <w:tc>
          <w:tcPr>
            <w:tcW w:w="6237" w:type="dxa"/>
          </w:tcPr>
          <w:p w14:paraId="546C3562" w14:textId="77777777" w:rsidR="0076470E" w:rsidRPr="00494D8C" w:rsidRDefault="0076470E" w:rsidP="00115DA2">
            <w:pPr>
              <w:pStyle w:val="NormalAshurst"/>
              <w:spacing w:after="0" w:line="288" w:lineRule="auto"/>
              <w:rPr>
                <w:rFonts w:ascii="Times New Roman" w:hAnsi="Times New Roman" w:cs="Times New Roman"/>
                <w:bCs/>
                <w:iCs/>
                <w:sz w:val="20"/>
                <w:szCs w:val="20"/>
              </w:rPr>
            </w:pPr>
            <w:r w:rsidRPr="00494D8C">
              <w:rPr>
                <w:rFonts w:ascii="Times New Roman" w:hAnsi="Times New Roman" w:cs="Times New Roman"/>
                <w:sz w:val="20"/>
                <w:szCs w:val="20"/>
              </w:rPr>
              <w:t>Amendments to the section entitled Risk Factors</w:t>
            </w:r>
          </w:p>
        </w:tc>
        <w:tc>
          <w:tcPr>
            <w:tcW w:w="2126" w:type="dxa"/>
          </w:tcPr>
          <w:p w14:paraId="5648D9F3" w14:textId="77777777" w:rsidR="0076470E" w:rsidRPr="00494D8C" w:rsidRDefault="0076470E" w:rsidP="00115DA2">
            <w:pPr>
              <w:pStyle w:val="NormalAshurst"/>
              <w:spacing w:after="0" w:line="288" w:lineRule="auto"/>
              <w:jc w:val="right"/>
              <w:rPr>
                <w:rFonts w:ascii="Times New Roman" w:hAnsi="Times New Roman" w:cs="Times New Roman"/>
                <w:sz w:val="20"/>
                <w:szCs w:val="20"/>
              </w:rPr>
            </w:pPr>
            <w:r w:rsidRPr="00494D8C">
              <w:rPr>
                <w:rFonts w:ascii="Times New Roman" w:hAnsi="Times New Roman" w:cs="Times New Roman"/>
                <w:sz w:val="20"/>
                <w:szCs w:val="20"/>
              </w:rPr>
              <w:t>Page 2</w:t>
            </w:r>
          </w:p>
        </w:tc>
      </w:tr>
      <w:tr w:rsidR="0076470E" w:rsidRPr="00494D8C" w14:paraId="55E33155" w14:textId="77777777" w:rsidTr="0076470E">
        <w:trPr>
          <w:trHeight w:val="430"/>
        </w:trPr>
        <w:tc>
          <w:tcPr>
            <w:tcW w:w="6237" w:type="dxa"/>
          </w:tcPr>
          <w:p w14:paraId="3CAF8BF7" w14:textId="77777777" w:rsidR="0076470E" w:rsidRPr="00494D8C" w:rsidRDefault="0076470E" w:rsidP="00115DA2">
            <w:pPr>
              <w:pStyle w:val="NormalAshurst"/>
              <w:spacing w:after="0" w:line="288" w:lineRule="auto"/>
              <w:rPr>
                <w:rFonts w:ascii="Times New Roman" w:hAnsi="Times New Roman" w:cs="Times New Roman"/>
                <w:sz w:val="20"/>
                <w:szCs w:val="20"/>
              </w:rPr>
            </w:pPr>
            <w:r w:rsidRPr="00494D8C">
              <w:rPr>
                <w:rFonts w:ascii="Times New Roman" w:hAnsi="Times New Roman" w:cs="Times New Roman"/>
                <w:b/>
                <w:i/>
                <w:sz w:val="20"/>
                <w:szCs w:val="20"/>
              </w:rPr>
              <w:t>From Supplement No. 2 to the Registration Document of JPMorgan</w:t>
            </w:r>
            <w:r w:rsidRPr="00494D8C">
              <w:rPr>
                <w:rFonts w:ascii="Times New Roman" w:hAnsi="Times New Roman" w:cs="Times New Roman"/>
                <w:sz w:val="20"/>
                <w:szCs w:val="20"/>
                <w:lang w:eastAsia="zh-CN"/>
              </w:rPr>
              <w:t xml:space="preserve"> </w:t>
            </w:r>
            <w:r w:rsidRPr="00494D8C">
              <w:rPr>
                <w:rFonts w:ascii="Times New Roman" w:hAnsi="Times New Roman" w:cs="Times New Roman"/>
                <w:b/>
                <w:i/>
                <w:sz w:val="20"/>
                <w:szCs w:val="20"/>
              </w:rPr>
              <w:t xml:space="preserve">Chase Bank, N.A. </w:t>
            </w:r>
          </w:p>
        </w:tc>
        <w:tc>
          <w:tcPr>
            <w:tcW w:w="2126" w:type="dxa"/>
          </w:tcPr>
          <w:p w14:paraId="359951C8" w14:textId="77777777" w:rsidR="0076470E" w:rsidRPr="00494D8C" w:rsidRDefault="0076470E" w:rsidP="00115DA2">
            <w:pPr>
              <w:pStyle w:val="NormalAshurst"/>
              <w:spacing w:after="0" w:line="288" w:lineRule="auto"/>
              <w:jc w:val="right"/>
              <w:rPr>
                <w:rFonts w:ascii="Times New Roman" w:hAnsi="Times New Roman" w:cs="Times New Roman"/>
                <w:sz w:val="20"/>
                <w:szCs w:val="20"/>
              </w:rPr>
            </w:pPr>
          </w:p>
        </w:tc>
      </w:tr>
      <w:tr w:rsidR="0076470E" w:rsidRPr="00494D8C" w14:paraId="678E7AC1" w14:textId="77777777" w:rsidTr="0076470E">
        <w:trPr>
          <w:trHeight w:val="430"/>
        </w:trPr>
        <w:tc>
          <w:tcPr>
            <w:tcW w:w="6237" w:type="dxa"/>
          </w:tcPr>
          <w:p w14:paraId="07E87541" w14:textId="77777777" w:rsidR="0076470E" w:rsidRPr="00494D8C" w:rsidRDefault="0076470E" w:rsidP="00115DA2">
            <w:pPr>
              <w:pStyle w:val="NormalAshurst"/>
              <w:spacing w:after="0" w:line="288" w:lineRule="auto"/>
              <w:rPr>
                <w:rFonts w:ascii="Times New Roman" w:hAnsi="Times New Roman" w:cs="Times New Roman"/>
                <w:bCs/>
                <w:iCs/>
                <w:sz w:val="20"/>
                <w:szCs w:val="20"/>
              </w:rPr>
            </w:pPr>
            <w:r w:rsidRPr="00494D8C">
              <w:rPr>
                <w:rFonts w:ascii="Times New Roman" w:hAnsi="Times New Roman" w:cs="Times New Roman"/>
                <w:sz w:val="20"/>
                <w:szCs w:val="20"/>
              </w:rPr>
              <w:t>Amendments to the section entitled Risk Factors</w:t>
            </w:r>
          </w:p>
        </w:tc>
        <w:tc>
          <w:tcPr>
            <w:tcW w:w="2126" w:type="dxa"/>
          </w:tcPr>
          <w:p w14:paraId="7BE6FD40" w14:textId="77777777" w:rsidR="0076470E" w:rsidRPr="00494D8C" w:rsidRDefault="0076470E" w:rsidP="00115DA2">
            <w:pPr>
              <w:pStyle w:val="NormalAshurst"/>
              <w:spacing w:after="0" w:line="288" w:lineRule="auto"/>
              <w:jc w:val="right"/>
              <w:rPr>
                <w:rFonts w:ascii="Times New Roman" w:hAnsi="Times New Roman" w:cs="Times New Roman"/>
                <w:sz w:val="20"/>
                <w:szCs w:val="20"/>
              </w:rPr>
            </w:pPr>
            <w:r w:rsidRPr="00494D8C">
              <w:rPr>
                <w:rFonts w:ascii="Times New Roman" w:hAnsi="Times New Roman" w:cs="Times New Roman"/>
                <w:sz w:val="20"/>
                <w:szCs w:val="20"/>
              </w:rPr>
              <w:t>Page 2</w:t>
            </w:r>
          </w:p>
        </w:tc>
      </w:tr>
      <w:tr w:rsidR="0076470E" w:rsidRPr="00494D8C" w14:paraId="738AF858" w14:textId="77777777" w:rsidTr="0076470E">
        <w:trPr>
          <w:trHeight w:val="430"/>
        </w:trPr>
        <w:tc>
          <w:tcPr>
            <w:tcW w:w="6237" w:type="dxa"/>
          </w:tcPr>
          <w:p w14:paraId="60083DB7" w14:textId="77777777" w:rsidR="0076470E" w:rsidRPr="00494D8C" w:rsidRDefault="0076470E" w:rsidP="00115DA2">
            <w:pPr>
              <w:pStyle w:val="NormalAshurst"/>
              <w:spacing w:after="0" w:line="288" w:lineRule="auto"/>
              <w:rPr>
                <w:rFonts w:ascii="Times New Roman" w:hAnsi="Times New Roman" w:cs="Times New Roman"/>
                <w:sz w:val="20"/>
                <w:szCs w:val="20"/>
              </w:rPr>
            </w:pPr>
            <w:r w:rsidRPr="00494D8C">
              <w:rPr>
                <w:rFonts w:ascii="Times New Roman" w:hAnsi="Times New Roman" w:cs="Times New Roman"/>
                <w:b/>
                <w:i/>
                <w:sz w:val="20"/>
                <w:szCs w:val="20"/>
              </w:rPr>
              <w:t xml:space="preserve">From Supplement No. 2 to the Registration Document of </w:t>
            </w:r>
            <w:proofErr w:type="spellStart"/>
            <w:r w:rsidRPr="00494D8C">
              <w:rPr>
                <w:rFonts w:ascii="Times New Roman" w:hAnsi="Times New Roman" w:cs="Times New Roman"/>
                <w:b/>
                <w:i/>
                <w:sz w:val="20"/>
                <w:szCs w:val="20"/>
              </w:rPr>
              <w:t>JPMCFC</w:t>
            </w:r>
            <w:proofErr w:type="spellEnd"/>
            <w:r w:rsidRPr="00494D8C">
              <w:rPr>
                <w:rFonts w:ascii="Times New Roman" w:hAnsi="Times New Roman" w:cs="Times New Roman"/>
                <w:b/>
                <w:i/>
                <w:sz w:val="20"/>
                <w:szCs w:val="20"/>
              </w:rPr>
              <w:t xml:space="preserve"> </w:t>
            </w:r>
          </w:p>
        </w:tc>
        <w:tc>
          <w:tcPr>
            <w:tcW w:w="2126" w:type="dxa"/>
          </w:tcPr>
          <w:p w14:paraId="37347C22" w14:textId="77777777" w:rsidR="0076470E" w:rsidRPr="00494D8C" w:rsidRDefault="0076470E" w:rsidP="00115DA2">
            <w:pPr>
              <w:pStyle w:val="NormalAshurst"/>
              <w:spacing w:after="0" w:line="288" w:lineRule="auto"/>
              <w:jc w:val="right"/>
              <w:rPr>
                <w:rFonts w:ascii="Times New Roman" w:hAnsi="Times New Roman" w:cs="Times New Roman"/>
                <w:sz w:val="20"/>
                <w:szCs w:val="20"/>
              </w:rPr>
            </w:pPr>
          </w:p>
        </w:tc>
      </w:tr>
      <w:tr w:rsidR="0076470E" w:rsidRPr="00494D8C" w14:paraId="7B9D0ABD" w14:textId="77777777" w:rsidTr="0076470E">
        <w:trPr>
          <w:trHeight w:val="430"/>
        </w:trPr>
        <w:tc>
          <w:tcPr>
            <w:tcW w:w="6237" w:type="dxa"/>
          </w:tcPr>
          <w:p w14:paraId="35663990" w14:textId="77777777" w:rsidR="0076470E" w:rsidRPr="00494D8C" w:rsidRDefault="0076470E" w:rsidP="00115DA2">
            <w:pPr>
              <w:pStyle w:val="NormalAshurst"/>
              <w:spacing w:after="0" w:line="288" w:lineRule="auto"/>
              <w:rPr>
                <w:rFonts w:ascii="Times New Roman" w:hAnsi="Times New Roman" w:cs="Times New Roman"/>
                <w:bCs/>
                <w:iCs/>
                <w:sz w:val="20"/>
                <w:szCs w:val="20"/>
              </w:rPr>
            </w:pPr>
            <w:r w:rsidRPr="00494D8C">
              <w:rPr>
                <w:rFonts w:ascii="Times New Roman" w:hAnsi="Times New Roman" w:cs="Times New Roman"/>
                <w:sz w:val="20"/>
                <w:szCs w:val="20"/>
              </w:rPr>
              <w:t>Amendments to the section entitled Risk Factors</w:t>
            </w:r>
          </w:p>
        </w:tc>
        <w:tc>
          <w:tcPr>
            <w:tcW w:w="2126" w:type="dxa"/>
          </w:tcPr>
          <w:p w14:paraId="2DBB0AE0" w14:textId="77777777" w:rsidR="0076470E" w:rsidRPr="00494D8C" w:rsidRDefault="0076470E" w:rsidP="00115DA2">
            <w:pPr>
              <w:pStyle w:val="NormalAshurst"/>
              <w:spacing w:after="0" w:line="288" w:lineRule="auto"/>
              <w:jc w:val="right"/>
              <w:rPr>
                <w:rFonts w:ascii="Times New Roman" w:hAnsi="Times New Roman" w:cs="Times New Roman"/>
                <w:sz w:val="20"/>
                <w:szCs w:val="20"/>
              </w:rPr>
            </w:pPr>
            <w:r w:rsidRPr="00494D8C">
              <w:rPr>
                <w:rFonts w:ascii="Times New Roman" w:hAnsi="Times New Roman" w:cs="Times New Roman"/>
                <w:sz w:val="20"/>
                <w:szCs w:val="20"/>
              </w:rPr>
              <w:t>Page 2</w:t>
            </w:r>
          </w:p>
        </w:tc>
      </w:tr>
      <w:tr w:rsidR="0076470E" w:rsidRPr="00494D8C" w14:paraId="7E12FEDA" w14:textId="77777777" w:rsidTr="0076470E">
        <w:trPr>
          <w:trHeight w:val="430"/>
        </w:trPr>
        <w:tc>
          <w:tcPr>
            <w:tcW w:w="6237" w:type="dxa"/>
          </w:tcPr>
          <w:p w14:paraId="52B1ECEB" w14:textId="77777777" w:rsidR="0076470E" w:rsidRPr="00494D8C" w:rsidRDefault="0076470E" w:rsidP="00115DA2">
            <w:pPr>
              <w:pStyle w:val="NormalAshurst"/>
              <w:spacing w:after="0" w:line="288" w:lineRule="auto"/>
              <w:rPr>
                <w:rFonts w:ascii="Times New Roman" w:hAnsi="Times New Roman" w:cs="Times New Roman"/>
                <w:b/>
                <w:bCs/>
                <w:i/>
                <w:iCs/>
                <w:sz w:val="20"/>
                <w:szCs w:val="20"/>
              </w:rPr>
            </w:pPr>
            <w:r w:rsidRPr="00494D8C">
              <w:rPr>
                <w:rFonts w:ascii="Times New Roman" w:hAnsi="Times New Roman" w:cs="Times New Roman"/>
                <w:b/>
                <w:bCs/>
                <w:i/>
                <w:iCs/>
                <w:sz w:val="20"/>
                <w:szCs w:val="20"/>
              </w:rPr>
              <w:t xml:space="preserve">From Supplement No. 1 to the Registration Document of </w:t>
            </w:r>
            <w:proofErr w:type="spellStart"/>
            <w:r w:rsidRPr="00494D8C">
              <w:rPr>
                <w:rFonts w:ascii="Times New Roman" w:hAnsi="Times New Roman" w:cs="Times New Roman"/>
                <w:b/>
                <w:bCs/>
                <w:i/>
                <w:iCs/>
                <w:sz w:val="20"/>
                <w:szCs w:val="20"/>
              </w:rPr>
              <w:t>JPMSP</w:t>
            </w:r>
            <w:proofErr w:type="spellEnd"/>
            <w:r w:rsidRPr="00494D8C">
              <w:rPr>
                <w:rFonts w:ascii="Times New Roman" w:hAnsi="Times New Roman" w:cs="Times New Roman"/>
                <w:b/>
                <w:bCs/>
                <w:i/>
                <w:iCs/>
                <w:sz w:val="20"/>
                <w:szCs w:val="20"/>
              </w:rPr>
              <w:t xml:space="preserve"> </w:t>
            </w:r>
          </w:p>
        </w:tc>
        <w:tc>
          <w:tcPr>
            <w:tcW w:w="2126" w:type="dxa"/>
          </w:tcPr>
          <w:p w14:paraId="0EDAE1BE" w14:textId="77777777" w:rsidR="0076470E" w:rsidRPr="00494D8C" w:rsidRDefault="0076470E" w:rsidP="00115DA2">
            <w:pPr>
              <w:pStyle w:val="NormalAshurst"/>
              <w:spacing w:after="0" w:line="288" w:lineRule="auto"/>
              <w:jc w:val="right"/>
              <w:rPr>
                <w:rFonts w:ascii="Times New Roman" w:hAnsi="Times New Roman" w:cs="Times New Roman"/>
                <w:sz w:val="20"/>
                <w:szCs w:val="20"/>
              </w:rPr>
            </w:pPr>
          </w:p>
        </w:tc>
      </w:tr>
      <w:tr w:rsidR="0076470E" w:rsidRPr="00494D8C" w14:paraId="336FF4C3" w14:textId="77777777" w:rsidTr="0076470E">
        <w:trPr>
          <w:trHeight w:val="430"/>
        </w:trPr>
        <w:tc>
          <w:tcPr>
            <w:tcW w:w="6237" w:type="dxa"/>
          </w:tcPr>
          <w:p w14:paraId="39C7E051" w14:textId="77777777" w:rsidR="0076470E" w:rsidRPr="00494D8C" w:rsidRDefault="0076470E" w:rsidP="00115DA2">
            <w:pPr>
              <w:pStyle w:val="NormalAshurst"/>
              <w:spacing w:after="0" w:line="288" w:lineRule="auto"/>
              <w:rPr>
                <w:rFonts w:ascii="Times New Roman" w:hAnsi="Times New Roman" w:cs="Times New Roman"/>
                <w:sz w:val="20"/>
                <w:szCs w:val="20"/>
              </w:rPr>
            </w:pPr>
            <w:r w:rsidRPr="00494D8C">
              <w:rPr>
                <w:rFonts w:ascii="Times New Roman" w:hAnsi="Times New Roman" w:cs="Times New Roman"/>
                <w:sz w:val="20"/>
                <w:szCs w:val="20"/>
              </w:rPr>
              <w:t>Amendments to the section entitled Risk Factors</w:t>
            </w:r>
          </w:p>
        </w:tc>
        <w:tc>
          <w:tcPr>
            <w:tcW w:w="2126" w:type="dxa"/>
          </w:tcPr>
          <w:p w14:paraId="43F5454A" w14:textId="77777777" w:rsidR="0076470E" w:rsidRPr="00494D8C" w:rsidRDefault="0076470E" w:rsidP="00115DA2">
            <w:pPr>
              <w:pStyle w:val="NormalAshurst"/>
              <w:spacing w:after="0" w:line="288" w:lineRule="auto"/>
              <w:jc w:val="right"/>
              <w:rPr>
                <w:rFonts w:ascii="Times New Roman" w:hAnsi="Times New Roman" w:cs="Times New Roman"/>
                <w:sz w:val="20"/>
                <w:szCs w:val="20"/>
              </w:rPr>
            </w:pPr>
            <w:r w:rsidRPr="00494D8C">
              <w:rPr>
                <w:rFonts w:ascii="Times New Roman" w:hAnsi="Times New Roman" w:cs="Times New Roman"/>
                <w:sz w:val="20"/>
                <w:szCs w:val="20"/>
              </w:rPr>
              <w:t>Page 2</w:t>
            </w:r>
          </w:p>
        </w:tc>
      </w:tr>
      <w:tr w:rsidR="000F6CE1" w:rsidRPr="00494D8C" w14:paraId="19B83EDE" w14:textId="77777777" w:rsidTr="00ED2C33">
        <w:trPr>
          <w:trHeight w:val="430"/>
        </w:trPr>
        <w:tc>
          <w:tcPr>
            <w:tcW w:w="6237" w:type="dxa"/>
          </w:tcPr>
          <w:p w14:paraId="07E5DA90" w14:textId="6EF496A0" w:rsidR="000F6CE1" w:rsidRPr="00494D8C" w:rsidRDefault="000F6CE1" w:rsidP="00ED2C33">
            <w:pPr>
              <w:pStyle w:val="NormalAshurst"/>
              <w:spacing w:after="0" w:line="288" w:lineRule="auto"/>
              <w:rPr>
                <w:rFonts w:ascii="Times New Roman" w:hAnsi="Times New Roman" w:cs="Times New Roman"/>
                <w:sz w:val="20"/>
                <w:szCs w:val="20"/>
              </w:rPr>
            </w:pPr>
            <w:r w:rsidRPr="00494D8C">
              <w:rPr>
                <w:rFonts w:ascii="Times New Roman" w:hAnsi="Times New Roman" w:cs="Times New Roman"/>
                <w:sz w:val="20"/>
                <w:szCs w:val="20"/>
              </w:rPr>
              <w:t>Amendments to the section entitled J.P. Morgan Structured Products B.V.</w:t>
            </w:r>
          </w:p>
        </w:tc>
        <w:tc>
          <w:tcPr>
            <w:tcW w:w="2126" w:type="dxa"/>
          </w:tcPr>
          <w:p w14:paraId="17FE816F" w14:textId="77777777" w:rsidR="000F6CE1" w:rsidRPr="00494D8C" w:rsidRDefault="000F6CE1" w:rsidP="00ED2C33">
            <w:pPr>
              <w:pStyle w:val="NormalAshurst"/>
              <w:spacing w:after="0" w:line="288" w:lineRule="auto"/>
              <w:jc w:val="right"/>
              <w:rPr>
                <w:rFonts w:ascii="Times New Roman" w:hAnsi="Times New Roman" w:cs="Times New Roman"/>
                <w:sz w:val="20"/>
                <w:szCs w:val="20"/>
              </w:rPr>
            </w:pPr>
            <w:r w:rsidRPr="00494D8C">
              <w:rPr>
                <w:rFonts w:ascii="Times New Roman" w:hAnsi="Times New Roman" w:cs="Times New Roman"/>
                <w:sz w:val="20"/>
                <w:szCs w:val="20"/>
              </w:rPr>
              <w:t>Pages 2 to 3</w:t>
            </w:r>
          </w:p>
        </w:tc>
      </w:tr>
      <w:tr w:rsidR="0076470E" w:rsidRPr="00494D8C" w14:paraId="359E9923" w14:textId="77777777" w:rsidTr="0076470E">
        <w:trPr>
          <w:trHeight w:val="430"/>
        </w:trPr>
        <w:tc>
          <w:tcPr>
            <w:tcW w:w="6237" w:type="dxa"/>
          </w:tcPr>
          <w:p w14:paraId="690D9E40" w14:textId="77777777" w:rsidR="0076470E" w:rsidRPr="00494D8C" w:rsidRDefault="0076470E" w:rsidP="00115DA2">
            <w:pPr>
              <w:pStyle w:val="NormalAshurst"/>
              <w:spacing w:after="0" w:line="288" w:lineRule="auto"/>
              <w:rPr>
                <w:rFonts w:ascii="Times New Roman" w:hAnsi="Times New Roman" w:cs="Times New Roman"/>
                <w:sz w:val="20"/>
                <w:szCs w:val="20"/>
              </w:rPr>
            </w:pPr>
            <w:r w:rsidRPr="00494D8C">
              <w:rPr>
                <w:rFonts w:ascii="Times New Roman" w:hAnsi="Times New Roman" w:cs="Times New Roman"/>
                <w:sz w:val="20"/>
                <w:szCs w:val="20"/>
              </w:rPr>
              <w:t>Amendments to the section entitled General Information</w:t>
            </w:r>
          </w:p>
        </w:tc>
        <w:tc>
          <w:tcPr>
            <w:tcW w:w="2126" w:type="dxa"/>
          </w:tcPr>
          <w:p w14:paraId="4A7CED0B" w14:textId="7F28D4C5" w:rsidR="0076470E" w:rsidRPr="00494D8C" w:rsidRDefault="0076470E" w:rsidP="00115DA2">
            <w:pPr>
              <w:pStyle w:val="NormalAshurst"/>
              <w:spacing w:after="0" w:line="288" w:lineRule="auto"/>
              <w:jc w:val="right"/>
              <w:rPr>
                <w:rFonts w:ascii="Times New Roman" w:hAnsi="Times New Roman" w:cs="Times New Roman"/>
                <w:sz w:val="20"/>
                <w:szCs w:val="20"/>
              </w:rPr>
            </w:pPr>
            <w:r w:rsidRPr="00494D8C">
              <w:rPr>
                <w:rFonts w:ascii="Times New Roman" w:hAnsi="Times New Roman" w:cs="Times New Roman"/>
                <w:sz w:val="20"/>
                <w:szCs w:val="20"/>
              </w:rPr>
              <w:t>Page 3</w:t>
            </w:r>
          </w:p>
        </w:tc>
      </w:tr>
    </w:tbl>
    <w:p w14:paraId="27A269EB" w14:textId="470F0E6A" w:rsidR="00D278F1" w:rsidRPr="00494D8C" w:rsidRDefault="00D278F1" w:rsidP="00070C0E">
      <w:pPr>
        <w:pStyle w:val="NormalOCAshurst"/>
        <w:spacing w:after="0"/>
        <w:rPr>
          <w:rFonts w:eastAsia="Microsoft JhengHei"/>
        </w:rPr>
      </w:pPr>
    </w:p>
    <w:p w14:paraId="27A8CEE7" w14:textId="2199370F" w:rsidR="00A75CD5" w:rsidRPr="00494D8C" w:rsidRDefault="00A75CD5" w:rsidP="00A75CD5">
      <w:pPr>
        <w:pStyle w:val="NormalOCAshurst"/>
        <w:ind w:left="567" w:hanging="567"/>
        <w:rPr>
          <w:b/>
        </w:rPr>
      </w:pPr>
      <w:r w:rsidRPr="00494D8C">
        <w:rPr>
          <w:b/>
        </w:rPr>
        <w:t>II.</w:t>
      </w:r>
      <w:r w:rsidRPr="00494D8C">
        <w:rPr>
          <w:b/>
        </w:rPr>
        <w:tab/>
        <w:t>Amendments to the information in the Offering Circular</w:t>
      </w:r>
    </w:p>
    <w:p w14:paraId="53FF1D7F" w14:textId="10BBB17C" w:rsidR="008F7826" w:rsidRPr="00494D8C" w:rsidRDefault="006D2FD3" w:rsidP="00A75CD5">
      <w:pPr>
        <w:pStyle w:val="NormalOCAshurst"/>
        <w:ind w:left="567" w:hanging="567"/>
        <w:rPr>
          <w:b/>
        </w:rPr>
      </w:pPr>
      <w:r w:rsidRPr="00494D8C">
        <w:rPr>
          <w:b/>
        </w:rPr>
        <w:t>(a)</w:t>
      </w:r>
      <w:r w:rsidRPr="00494D8C">
        <w:rPr>
          <w:b/>
        </w:rPr>
        <w:tab/>
        <w:t>Amendments to the section entitled Risk Factors</w:t>
      </w:r>
    </w:p>
    <w:p w14:paraId="0B948AF6" w14:textId="75AFEAD8" w:rsidR="006D2FD3" w:rsidRPr="00494D8C" w:rsidRDefault="004E0AC6" w:rsidP="003F1726">
      <w:pPr>
        <w:pStyle w:val="NormalOCAshurst"/>
        <w:ind w:left="567" w:hanging="567"/>
        <w:rPr>
          <w:bCs/>
        </w:rPr>
      </w:pPr>
      <w:r w:rsidRPr="00494D8C">
        <w:rPr>
          <w:bCs/>
        </w:rPr>
        <w:t>(i)</w:t>
      </w:r>
      <w:r w:rsidRPr="00494D8C">
        <w:rPr>
          <w:bCs/>
        </w:rPr>
        <w:tab/>
      </w:r>
      <w:r w:rsidR="003F1726" w:rsidRPr="00494D8C">
        <w:rPr>
          <w:bCs/>
        </w:rPr>
        <w:t>Risk Factor 1.4(e) (</w:t>
      </w:r>
      <w:r w:rsidR="003F1726" w:rsidRPr="00494D8C">
        <w:rPr>
          <w:bCs/>
          <w:i/>
          <w:iCs/>
        </w:rPr>
        <w:t>Operational, Strategic, Conduct and People Risks</w:t>
      </w:r>
      <w:r w:rsidR="003F1726" w:rsidRPr="00494D8C">
        <w:rPr>
          <w:bCs/>
        </w:rPr>
        <w:t>) shall be amended by inserting the following new sub-paragraph immediately after the sub-paragraph entitled "</w:t>
      </w:r>
      <w:r w:rsidR="003F1726" w:rsidRPr="00494D8C">
        <w:rPr>
          <w:bCs/>
          <w:i/>
          <w:iCs/>
        </w:rPr>
        <w:t>JPMorgan Chase's businesses are dependent on the effectiveness of its operational systems and those of other market participants</w:t>
      </w:r>
      <w:r w:rsidR="003F1726" w:rsidRPr="00494D8C">
        <w:rPr>
          <w:bCs/>
        </w:rPr>
        <w:t>" and immediately before the sub-paragraph entitled "</w:t>
      </w:r>
      <w:r w:rsidR="003F1726" w:rsidRPr="00494D8C">
        <w:rPr>
          <w:bCs/>
          <w:i/>
          <w:iCs/>
        </w:rPr>
        <w:t>A successful cyber-attack affecting JPMorgan Chase could cause significant harm to JPMorgan Chase and its clients and customers</w:t>
      </w:r>
      <w:r w:rsidR="003F1726" w:rsidRPr="00494D8C">
        <w:rPr>
          <w:bCs/>
        </w:rPr>
        <w:t>" on page 61 of the Original Offering Circular as follows:</w:t>
      </w:r>
    </w:p>
    <w:p w14:paraId="47A7251E" w14:textId="77777777" w:rsidR="003F1726" w:rsidRPr="00494D8C" w:rsidRDefault="003F1726" w:rsidP="003F1726">
      <w:pPr>
        <w:pStyle w:val="Times"/>
      </w:pPr>
      <w:r w:rsidRPr="00494D8C">
        <w:rPr>
          <w:b w:val="0"/>
          <w:bCs w:val="0"/>
        </w:rPr>
        <w:t>"</w:t>
      </w:r>
      <w:r w:rsidRPr="00494D8C">
        <w:rPr>
          <w:i/>
          <w:iCs/>
        </w:rPr>
        <w:t>JPMorgan Chase's acquisition of certain assets and liabilities of First Republic Bank may not result in all of the benefits anticipated</w:t>
      </w:r>
      <w:r w:rsidRPr="00494D8C">
        <w:t>.</w:t>
      </w:r>
    </w:p>
    <w:p w14:paraId="7247D952" w14:textId="77777777" w:rsidR="003F1726" w:rsidRPr="00494D8C" w:rsidRDefault="003F1726" w:rsidP="003F1726">
      <w:pPr>
        <w:pStyle w:val="Times"/>
        <w:rPr>
          <w:b w:val="0"/>
          <w:bCs w:val="0"/>
        </w:rPr>
      </w:pPr>
      <w:r w:rsidRPr="00494D8C">
        <w:rPr>
          <w:b w:val="0"/>
          <w:bCs w:val="0"/>
        </w:rPr>
        <w:t>On 1 May 2023, JPMorgan Chase Bank, N.A. acquired the substantial majority of assets and assumed certain liabilities of First Republic Bank from the FDIC (the "</w:t>
      </w:r>
      <w:r w:rsidRPr="00494D8C">
        <w:t>Acquisition</w:t>
      </w:r>
      <w:r w:rsidRPr="00494D8C">
        <w:rPr>
          <w:b w:val="0"/>
          <w:bCs w:val="0"/>
        </w:rPr>
        <w:t>"). There can be no assurance that the Acquisition will have the anticipated positive results, including with respect to:</w:t>
      </w:r>
    </w:p>
    <w:p w14:paraId="49690E6F" w14:textId="77777777" w:rsidR="003F1726" w:rsidRPr="00494D8C" w:rsidRDefault="003F1726" w:rsidP="003F1726">
      <w:pPr>
        <w:pStyle w:val="Times"/>
        <w:numPr>
          <w:ilvl w:val="0"/>
          <w:numId w:val="41"/>
        </w:numPr>
        <w:tabs>
          <w:tab w:val="clear" w:pos="709"/>
          <w:tab w:val="clear" w:pos="1276"/>
          <w:tab w:val="left" w:pos="1134"/>
        </w:tabs>
        <w:ind w:hanging="782"/>
        <w:rPr>
          <w:b w:val="0"/>
          <w:bCs w:val="0"/>
        </w:rPr>
      </w:pPr>
      <w:r w:rsidRPr="00494D8C">
        <w:rPr>
          <w:b w:val="0"/>
          <w:bCs w:val="0"/>
        </w:rPr>
        <w:t>the total cost of integration</w:t>
      </w:r>
    </w:p>
    <w:p w14:paraId="5E5B84AD" w14:textId="77777777" w:rsidR="003F1726" w:rsidRPr="00494D8C" w:rsidRDefault="003F1726" w:rsidP="003F1726">
      <w:pPr>
        <w:pStyle w:val="Times"/>
        <w:numPr>
          <w:ilvl w:val="0"/>
          <w:numId w:val="41"/>
        </w:numPr>
        <w:tabs>
          <w:tab w:val="clear" w:pos="709"/>
          <w:tab w:val="clear" w:pos="1276"/>
          <w:tab w:val="left" w:pos="1134"/>
        </w:tabs>
        <w:ind w:hanging="782"/>
        <w:rPr>
          <w:b w:val="0"/>
          <w:bCs w:val="0"/>
        </w:rPr>
      </w:pPr>
      <w:r w:rsidRPr="00494D8C">
        <w:rPr>
          <w:b w:val="0"/>
          <w:bCs w:val="0"/>
        </w:rPr>
        <w:t>the time required to complete the integration</w:t>
      </w:r>
    </w:p>
    <w:p w14:paraId="77FDBE35" w14:textId="77777777" w:rsidR="003F1726" w:rsidRPr="00494D8C" w:rsidRDefault="003F1726" w:rsidP="003F1726">
      <w:pPr>
        <w:pStyle w:val="Times"/>
        <w:numPr>
          <w:ilvl w:val="0"/>
          <w:numId w:val="41"/>
        </w:numPr>
        <w:tabs>
          <w:tab w:val="clear" w:pos="709"/>
          <w:tab w:val="clear" w:pos="1276"/>
          <w:tab w:val="left" w:pos="1134"/>
        </w:tabs>
        <w:ind w:hanging="782"/>
        <w:rPr>
          <w:b w:val="0"/>
          <w:bCs w:val="0"/>
        </w:rPr>
      </w:pPr>
      <w:r w:rsidRPr="00494D8C">
        <w:rPr>
          <w:b w:val="0"/>
          <w:bCs w:val="0"/>
        </w:rPr>
        <w:t>the amount of longer-term cost savings</w:t>
      </w:r>
    </w:p>
    <w:p w14:paraId="5C76DD88" w14:textId="77777777" w:rsidR="003F1726" w:rsidRPr="00494D8C" w:rsidRDefault="003F1726" w:rsidP="003F1726">
      <w:pPr>
        <w:pStyle w:val="Times"/>
        <w:numPr>
          <w:ilvl w:val="0"/>
          <w:numId w:val="41"/>
        </w:numPr>
        <w:tabs>
          <w:tab w:val="clear" w:pos="709"/>
          <w:tab w:val="clear" w:pos="1276"/>
          <w:tab w:val="left" w:pos="1134"/>
        </w:tabs>
        <w:ind w:hanging="782"/>
        <w:rPr>
          <w:b w:val="0"/>
          <w:bCs w:val="0"/>
        </w:rPr>
      </w:pPr>
      <w:r w:rsidRPr="00494D8C">
        <w:rPr>
          <w:b w:val="0"/>
          <w:bCs w:val="0"/>
        </w:rPr>
        <w:t>the overall performance of the assets and liabilities acquired in the Acquisition, or</w:t>
      </w:r>
    </w:p>
    <w:p w14:paraId="571D81FF" w14:textId="77777777" w:rsidR="003F1726" w:rsidRPr="00494D8C" w:rsidRDefault="003F1726" w:rsidP="003F1726">
      <w:pPr>
        <w:pStyle w:val="Times"/>
        <w:numPr>
          <w:ilvl w:val="0"/>
          <w:numId w:val="41"/>
        </w:numPr>
        <w:tabs>
          <w:tab w:val="clear" w:pos="709"/>
          <w:tab w:val="clear" w:pos="1276"/>
          <w:tab w:val="left" w:pos="1134"/>
        </w:tabs>
        <w:ind w:hanging="782"/>
        <w:rPr>
          <w:b w:val="0"/>
          <w:bCs w:val="0"/>
        </w:rPr>
      </w:pPr>
      <w:r w:rsidRPr="00494D8C">
        <w:rPr>
          <w:b w:val="0"/>
          <w:bCs w:val="0"/>
        </w:rPr>
        <w:t>an improved price for JPMorgan Chase's common stock.</w:t>
      </w:r>
    </w:p>
    <w:p w14:paraId="2210FA71" w14:textId="77777777" w:rsidR="003F1726" w:rsidRPr="00494D8C" w:rsidRDefault="003F1726" w:rsidP="003F1726">
      <w:pPr>
        <w:pStyle w:val="Times"/>
        <w:rPr>
          <w:b w:val="0"/>
          <w:bCs w:val="0"/>
        </w:rPr>
      </w:pPr>
      <w:r w:rsidRPr="00494D8C">
        <w:rPr>
          <w:b w:val="0"/>
          <w:bCs w:val="0"/>
        </w:rPr>
        <w:t>Integration of an acquired business can be complex and costly, and typically will involve the combination of relevant accounting and data processing systems and management controls, as well as managing relevant relationships with employees, clients, suppliers and other business partners. Integration efforts could divert management attention and resources, which could adversely affect JPMorgan Chase's operations or results. In addition, JPMorgan Chase could incur unanticipated costs or losses in connection with the Acquisition and its integration efforts.</w:t>
      </w:r>
    </w:p>
    <w:p w14:paraId="1BFCADE0" w14:textId="00647C9F" w:rsidR="003F1726" w:rsidRPr="00494D8C" w:rsidRDefault="003F1726" w:rsidP="003F1726">
      <w:pPr>
        <w:pStyle w:val="NormalOCAshurst"/>
        <w:ind w:left="567"/>
        <w:rPr>
          <w:bCs/>
        </w:rPr>
      </w:pPr>
      <w:r w:rsidRPr="00494D8C">
        <w:lastRenderedPageBreak/>
        <w:t>Acquisitions may also result in business disruptions that cause JPMorgan Chase to lose clients and customers, or cause clients and customers to move their business to competing financial institutions. It is possible that the integration process could result in the disruption of ongoing businesses or inconsistencies in standards, controls, procedures and policies that could adversely affect JPMorgan Chase's ability to maintain relationships with clients, customers, depositors and employees. In addition, the loss of key employees in connection with the Acquisition could adversely affect JPMorgan Chase's ability to successfully conduct its business."</w:t>
      </w:r>
    </w:p>
    <w:p w14:paraId="2ED070DA" w14:textId="7E5010EC" w:rsidR="001C5A42" w:rsidRPr="00494D8C" w:rsidRDefault="001C5A42" w:rsidP="001C5A42">
      <w:pPr>
        <w:pStyle w:val="NormalOCAshurst"/>
        <w:ind w:left="567" w:hanging="567"/>
        <w:rPr>
          <w:bCs/>
        </w:rPr>
      </w:pPr>
      <w:r w:rsidRPr="00494D8C">
        <w:rPr>
          <w:bCs/>
        </w:rPr>
        <w:t>(ii)</w:t>
      </w:r>
      <w:r w:rsidRPr="00494D8C">
        <w:rPr>
          <w:bCs/>
        </w:rPr>
        <w:tab/>
        <w:t>Risk Factor 4.3 (</w:t>
      </w:r>
      <w:r w:rsidRPr="00494D8C">
        <w:rPr>
          <w:bCs/>
          <w:i/>
          <w:iCs/>
        </w:rPr>
        <w:t>Risks associated with benchmark reform and the discontinuance, loss of representativeness and replacement of "</w:t>
      </w:r>
      <w:proofErr w:type="spellStart"/>
      <w:r w:rsidRPr="00494D8C">
        <w:rPr>
          <w:bCs/>
          <w:i/>
          <w:iCs/>
        </w:rPr>
        <w:t>IBORs</w:t>
      </w:r>
      <w:proofErr w:type="spellEnd"/>
      <w:r w:rsidRPr="00494D8C">
        <w:rPr>
          <w:bCs/>
          <w:i/>
          <w:iCs/>
        </w:rPr>
        <w:t>" and related rates</w:t>
      </w:r>
      <w:r w:rsidRPr="00494D8C">
        <w:rPr>
          <w:bCs/>
        </w:rPr>
        <w:t xml:space="preserve">) on pages 84 to 86 of the Original Offering Circular shall be deleted and replaced with the following: </w:t>
      </w:r>
    </w:p>
    <w:p w14:paraId="3864A248" w14:textId="377F63EB" w:rsidR="001C5A42" w:rsidRPr="00494D8C" w:rsidRDefault="001C5A42" w:rsidP="001C5A42">
      <w:pPr>
        <w:pStyle w:val="NormalOCAshurst"/>
        <w:ind w:left="1134" w:hanging="567"/>
        <w:rPr>
          <w:bCs/>
        </w:rPr>
      </w:pPr>
      <w:r w:rsidRPr="00494D8C">
        <w:rPr>
          <w:bCs/>
        </w:rPr>
        <w:t>"4.3</w:t>
      </w:r>
      <w:r w:rsidRPr="00494D8C">
        <w:rPr>
          <w:bCs/>
        </w:rPr>
        <w:tab/>
      </w:r>
      <w:r w:rsidRPr="00494D8C">
        <w:rPr>
          <w:b/>
        </w:rPr>
        <w:t>Risks associated with benchmark reform and the discontinuance, loss of representativeness and replacement of "</w:t>
      </w:r>
      <w:proofErr w:type="spellStart"/>
      <w:r w:rsidRPr="00494D8C">
        <w:rPr>
          <w:b/>
        </w:rPr>
        <w:t>IBORs</w:t>
      </w:r>
      <w:proofErr w:type="spellEnd"/>
      <w:r w:rsidRPr="00494D8C">
        <w:rPr>
          <w:b/>
        </w:rPr>
        <w:t>" and related rates</w:t>
      </w:r>
    </w:p>
    <w:p w14:paraId="07B26F9D" w14:textId="468E5A7F" w:rsidR="001C5A42" w:rsidRPr="00494D8C" w:rsidRDefault="001C5A42" w:rsidP="001C5A42">
      <w:pPr>
        <w:pStyle w:val="NormalOCAshurst"/>
        <w:ind w:left="1134"/>
        <w:rPr>
          <w:bCs/>
        </w:rPr>
      </w:pPr>
      <w:r w:rsidRPr="00494D8C">
        <w:rPr>
          <w:bCs/>
        </w:rPr>
        <w:t>A number of major interest rates, other rates, indices and other published benchmarks, including the London Interbank Offered Rate ("</w:t>
      </w:r>
      <w:r w:rsidRPr="00494D8C">
        <w:rPr>
          <w:b/>
        </w:rPr>
        <w:t>LIBOR</w:t>
      </w:r>
      <w:r w:rsidRPr="00494D8C">
        <w:rPr>
          <w:bCs/>
        </w:rPr>
        <w:t>") and the Euro Interbank Offered Rate ("</w:t>
      </w:r>
      <w:r w:rsidRPr="00494D8C">
        <w:rPr>
          <w:b/>
        </w:rPr>
        <w:t>EURIBOR</w:t>
      </w:r>
      <w:r w:rsidRPr="00494D8C">
        <w:rPr>
          <w:bCs/>
        </w:rPr>
        <w:t xml:space="preserve">") have for some time been the subject of regulatory reform. This has led to the discontinuation or modification of all LIBOR rates and may cause other benchmarks to be discontinued, to be modified, or to be subject to other changes in the future. Any such consequence could have a material adverse effect on the value of and return on Securities the </w:t>
      </w:r>
      <w:proofErr w:type="spellStart"/>
      <w:r w:rsidRPr="00494D8C">
        <w:rPr>
          <w:bCs/>
        </w:rPr>
        <w:t>payout</w:t>
      </w:r>
      <w:proofErr w:type="spellEnd"/>
      <w:r w:rsidRPr="00494D8C">
        <w:rPr>
          <w:bCs/>
        </w:rPr>
        <w:t xml:space="preserve"> of which is dependent on the performance of any such benchmark.</w:t>
      </w:r>
    </w:p>
    <w:p w14:paraId="63708A23" w14:textId="36B887FF" w:rsidR="001C5A42" w:rsidRPr="00494D8C" w:rsidRDefault="001C5A42" w:rsidP="001C5A42">
      <w:pPr>
        <w:pStyle w:val="NormalOCAshurst"/>
        <w:ind w:left="1134"/>
        <w:rPr>
          <w:bCs/>
        </w:rPr>
      </w:pPr>
      <w:r w:rsidRPr="00494D8C">
        <w:rPr>
          <w:bCs/>
        </w:rPr>
        <w:t>The EU Regulation 2016/1011 on indices used as benchmarks in financial instruments and financial contracts or to measure the performance of investment funds (the "</w:t>
      </w:r>
      <w:r w:rsidRPr="00494D8C">
        <w:rPr>
          <w:b/>
        </w:rPr>
        <w:t>EU Benchmarks Regulation</w:t>
      </w:r>
      <w:r w:rsidRPr="00494D8C">
        <w:rPr>
          <w:bCs/>
        </w:rPr>
        <w:t>") and the EU Benchmarks Regulation as it forms part of UK domestic law by virtue of the European Union (Withdrawal) Act 2018 (as amended) and regulations made thereunder (the "</w:t>
      </w:r>
      <w:r w:rsidRPr="00494D8C">
        <w:rPr>
          <w:b/>
        </w:rPr>
        <w:t>UK Benchmarks Regulation</w:t>
      </w:r>
      <w:r w:rsidRPr="00494D8C">
        <w:rPr>
          <w:bCs/>
        </w:rPr>
        <w:t>", and together with the EU Benchmarks Regulation, the "Benchmarks Regulations") are a key element of regulatory reform in, respectively, the EU and the UK.</w:t>
      </w:r>
    </w:p>
    <w:p w14:paraId="6F705214" w14:textId="77777777" w:rsidR="001C5A42" w:rsidRPr="00494D8C" w:rsidRDefault="001C5A42" w:rsidP="001C5A42">
      <w:pPr>
        <w:pStyle w:val="NormalOCAshurst"/>
        <w:ind w:left="1134"/>
        <w:rPr>
          <w:bCs/>
        </w:rPr>
      </w:pPr>
      <w:r w:rsidRPr="00494D8C">
        <w:rPr>
          <w:bCs/>
        </w:rPr>
        <w:t>In addition to "critical benchmarks" such as LIBOR and EURIBOR, other interest rates, foreign exchange rates, and indices, including equity, commodity and "proprietary" indices or strategies, will in most cases be within scope of one or both of the Benchmarks Regulations as "benchmarks" where they are used to determine the amount payable under, or the value of, certain financial instruments (including (i) in the case of the EU Benchmarks Regulation, Securities listed on an EU regulated market or an EU multilateral trading facility ("</w:t>
      </w:r>
      <w:r w:rsidRPr="00494D8C">
        <w:rPr>
          <w:b/>
        </w:rPr>
        <w:t>MTF</w:t>
      </w:r>
      <w:r w:rsidRPr="00494D8C">
        <w:rPr>
          <w:bCs/>
        </w:rPr>
        <w:t xml:space="preserve">") and (ii) in the case of the UK Benchmarks Regulation, Securities listed on a UK recognised investment exchange or a UK MTF), and in a number of other circumstances. </w:t>
      </w:r>
    </w:p>
    <w:p w14:paraId="4309C2A6" w14:textId="77777777" w:rsidR="001C5A42" w:rsidRPr="00494D8C" w:rsidRDefault="001C5A42" w:rsidP="001C5A42">
      <w:pPr>
        <w:pStyle w:val="NormalOCAshurst"/>
        <w:ind w:left="1134"/>
        <w:rPr>
          <w:bCs/>
        </w:rPr>
      </w:pPr>
      <w:r w:rsidRPr="00494D8C">
        <w:rPr>
          <w:bCs/>
        </w:rPr>
        <w:t>The EU Benchmarks Regulation applies to the contribution of input data to a benchmark, the administration of a benchmark, and the use of a benchmark in the EU. Amongst other things, the EU Benchmarks Regulation requires EU benchmark administrators to be authorised or registered as such and to comply with extensive requirements relating to benchmark administration. It also prohibits (subject to transitional provisions) certain uses by EU supervised entities of (a) benchmarks provided by EU administrators which are not authorised or registered in accordance with the EU Benchmarks Regulation and (b) benchmarks provided by non-EU administrators where (i) the administrator's regulatory regime has not been determined to be "equivalent" to that of the EU, (ii) the administrator has not been recognised in accordance with the EU Benchmarks Regulation, and (iii) the benchmark has not been endorsed in accordance with the EU Benchmarks Regulation.</w:t>
      </w:r>
    </w:p>
    <w:p w14:paraId="687D3E08" w14:textId="77777777" w:rsidR="001C5A42" w:rsidRPr="00494D8C" w:rsidRDefault="001C5A42" w:rsidP="001C5A42">
      <w:pPr>
        <w:pStyle w:val="NormalOCAshurst"/>
        <w:ind w:left="1134"/>
        <w:rPr>
          <w:bCs/>
        </w:rPr>
      </w:pPr>
      <w:r w:rsidRPr="00494D8C">
        <w:rPr>
          <w:bCs/>
        </w:rPr>
        <w:t>The UK Benchmarks Regulation imposes substantially the same obligations and restrictions as the EU Benchmarks Regulation, but has a narrower geographical scope. The UK Benchmarks Regulation applies to the contribution of input data to a benchmark, the administration of a benchmark, and the use of a benchmark in the United Kingdom. In-scope entities include UK benchmark administrators and UK supervised entities.</w:t>
      </w:r>
    </w:p>
    <w:p w14:paraId="27C1B00B" w14:textId="77777777" w:rsidR="001C5A42" w:rsidRPr="00494D8C" w:rsidRDefault="001C5A42" w:rsidP="001C5A42">
      <w:pPr>
        <w:pStyle w:val="NormalOCAshurst"/>
        <w:ind w:left="1134"/>
        <w:rPr>
          <w:bCs/>
        </w:rPr>
      </w:pPr>
      <w:r w:rsidRPr="00494D8C">
        <w:rPr>
          <w:bCs/>
        </w:rPr>
        <w:t>The ESMA maintains a public register of EU-approved benchmark administrators and non-EU benchmarks pursuant to the EU Benchmarks Regulation (the "</w:t>
      </w:r>
      <w:r w:rsidRPr="00494D8C">
        <w:rPr>
          <w:b/>
        </w:rPr>
        <w:t>ESMA Register</w:t>
      </w:r>
      <w:r w:rsidRPr="00494D8C">
        <w:rPr>
          <w:bCs/>
        </w:rPr>
        <w:t>"). Benchmarks and benchmark administrators which were approved by the UK Financial Conduct Authority ("</w:t>
      </w:r>
      <w:proofErr w:type="spellStart"/>
      <w:r w:rsidRPr="00494D8C">
        <w:rPr>
          <w:b/>
        </w:rPr>
        <w:t>FCA</w:t>
      </w:r>
      <w:proofErr w:type="spellEnd"/>
      <w:r w:rsidRPr="00494D8C">
        <w:rPr>
          <w:bCs/>
        </w:rPr>
        <w:t xml:space="preserve">") prior to 31 December 2020 were removed from the ESMA Register on 1 January 2021. </w:t>
      </w:r>
    </w:p>
    <w:p w14:paraId="4C8B687E" w14:textId="77777777" w:rsidR="001C5A42" w:rsidRPr="00494D8C" w:rsidRDefault="001C5A42" w:rsidP="001C5A42">
      <w:pPr>
        <w:pStyle w:val="NormalOCAshurst"/>
        <w:ind w:left="1134"/>
        <w:rPr>
          <w:bCs/>
        </w:rPr>
      </w:pPr>
      <w:r w:rsidRPr="00494D8C">
        <w:rPr>
          <w:bCs/>
        </w:rPr>
        <w:lastRenderedPageBreak/>
        <w:t xml:space="preserve">Similarly, the </w:t>
      </w:r>
      <w:proofErr w:type="spellStart"/>
      <w:r w:rsidRPr="00494D8C">
        <w:rPr>
          <w:bCs/>
        </w:rPr>
        <w:t>FCA</w:t>
      </w:r>
      <w:proofErr w:type="spellEnd"/>
      <w:r w:rsidRPr="00494D8C">
        <w:rPr>
          <w:bCs/>
        </w:rPr>
        <w:t xml:space="preserve"> maintains a separate public register of </w:t>
      </w:r>
      <w:proofErr w:type="spellStart"/>
      <w:r w:rsidRPr="00494D8C">
        <w:rPr>
          <w:bCs/>
        </w:rPr>
        <w:t>FCA</w:t>
      </w:r>
      <w:proofErr w:type="spellEnd"/>
      <w:r w:rsidRPr="00494D8C">
        <w:rPr>
          <w:bCs/>
        </w:rPr>
        <w:t>-approved benchmark administrators and non-UK benchmarks pursuant to the UK Benchmarks Regulation (the "</w:t>
      </w:r>
      <w:r w:rsidRPr="00494D8C">
        <w:rPr>
          <w:b/>
        </w:rPr>
        <w:t>UK Register</w:t>
      </w:r>
      <w:r w:rsidRPr="00494D8C">
        <w:rPr>
          <w:bCs/>
        </w:rPr>
        <w:t xml:space="preserve">"). Benchmarks and benchmark administrators which were approved by the </w:t>
      </w:r>
      <w:proofErr w:type="spellStart"/>
      <w:r w:rsidRPr="00494D8C">
        <w:rPr>
          <w:bCs/>
        </w:rPr>
        <w:t>FCA</w:t>
      </w:r>
      <w:proofErr w:type="spellEnd"/>
      <w:r w:rsidRPr="00494D8C">
        <w:rPr>
          <w:bCs/>
        </w:rPr>
        <w:t xml:space="preserve"> prior to 31 December 2020 are included on the UK Register.</w:t>
      </w:r>
    </w:p>
    <w:p w14:paraId="1B348317" w14:textId="77777777" w:rsidR="001C5A42" w:rsidRPr="00494D8C" w:rsidRDefault="001C5A42" w:rsidP="001C5A42">
      <w:pPr>
        <w:pStyle w:val="NormalOCAshurst"/>
        <w:ind w:left="1134"/>
        <w:rPr>
          <w:bCs/>
        </w:rPr>
      </w:pPr>
      <w:r w:rsidRPr="00494D8C">
        <w:rPr>
          <w:bCs/>
        </w:rPr>
        <w:t>The EU Benchmarks Regulation and/or the UK Benchmarks Regulation could have a material adverse impact on the value of and return on Securities linked to a benchmark. For example:</w:t>
      </w:r>
    </w:p>
    <w:p w14:paraId="4895D09D" w14:textId="77777777" w:rsidR="001C5A42" w:rsidRPr="00494D8C" w:rsidRDefault="001C5A42" w:rsidP="001C5A42">
      <w:pPr>
        <w:pStyle w:val="NormalOCAshurst"/>
        <w:ind w:left="1701" w:hanging="567"/>
        <w:rPr>
          <w:bCs/>
        </w:rPr>
      </w:pPr>
      <w:r w:rsidRPr="00494D8C">
        <w:rPr>
          <w:bCs/>
        </w:rPr>
        <w:t>•</w:t>
      </w:r>
      <w:r w:rsidRPr="00494D8C">
        <w:rPr>
          <w:bCs/>
        </w:rPr>
        <w:tab/>
        <w:t>a rate or index which is a "benchmark" within the meaning of the EU Benchmarks Regulation may not be used in certain ways by an EU supervised entity if (subject to applicable transitional provisions) its administrator does not obtain authorisation or registration from its EU competent authority (or, if a non-EU entity, does not satisfy the "equivalence" conditions and is not "recognised" by an EU competent authority, pending an equivalence decision, and does not have the relevant benchmark "endorsed" by an EU supervised entity). If the benchmark administrator does not obtain or maintain (as applicable) such authorisation or registration (or, if a non-EU entity, "equivalence" is not available and neither recognition nor endorsement is obtained) (this is referred to as an "</w:t>
      </w:r>
      <w:r w:rsidRPr="00494D8C">
        <w:rPr>
          <w:b/>
        </w:rPr>
        <w:t>Administrator/Benchmark Event</w:t>
      </w:r>
      <w:r w:rsidRPr="00494D8C">
        <w:rPr>
          <w:bCs/>
        </w:rPr>
        <w:t>"), then the Securities may be redeemed prior to maturity;</w:t>
      </w:r>
    </w:p>
    <w:p w14:paraId="3670E6E9" w14:textId="77777777" w:rsidR="001C5A42" w:rsidRPr="00494D8C" w:rsidRDefault="001C5A42" w:rsidP="001C5A42">
      <w:pPr>
        <w:pStyle w:val="NormalOCAshurst"/>
        <w:ind w:left="1701" w:hanging="567"/>
        <w:rPr>
          <w:bCs/>
        </w:rPr>
      </w:pPr>
      <w:r w:rsidRPr="00494D8C">
        <w:rPr>
          <w:bCs/>
        </w:rPr>
        <w:t>•</w:t>
      </w:r>
      <w:r w:rsidRPr="00494D8C">
        <w:rPr>
          <w:bCs/>
        </w:rPr>
        <w:tab/>
        <w:t xml:space="preserve">similarly, a rate or index which is a "benchmark" within the meaning of the UK Benchmarks Regulation may not be used in certain ways by an UK supervised entity if (subject to applicable transitional provisions) its administrator does not obtain authorisation or registration from the </w:t>
      </w:r>
      <w:proofErr w:type="spellStart"/>
      <w:r w:rsidRPr="00494D8C">
        <w:rPr>
          <w:bCs/>
        </w:rPr>
        <w:t>FCA</w:t>
      </w:r>
      <w:proofErr w:type="spellEnd"/>
      <w:r w:rsidRPr="00494D8C">
        <w:rPr>
          <w:bCs/>
        </w:rPr>
        <w:t xml:space="preserve"> (or, if a non-UK entity, does not satisfy the "equivalence" conditions and is not "recognised" by the </w:t>
      </w:r>
      <w:proofErr w:type="spellStart"/>
      <w:r w:rsidRPr="00494D8C">
        <w:rPr>
          <w:bCs/>
        </w:rPr>
        <w:t>FCA</w:t>
      </w:r>
      <w:proofErr w:type="spellEnd"/>
      <w:r w:rsidRPr="00494D8C">
        <w:rPr>
          <w:bCs/>
        </w:rPr>
        <w:t>, pending an equivalence decision, and does not have the relevant benchmark "endorsed" by a UK supervised entity). If the benchmark administrator does not obtain or maintain (as applicable) such authorisation or registration (or, if a non-UK entity, "equivalence" is not available and neither recognition nor endorsement is obtained) (this is referred to as an "</w:t>
      </w:r>
      <w:r w:rsidRPr="00494D8C">
        <w:rPr>
          <w:b/>
        </w:rPr>
        <w:t>Administrator/Benchmark Event</w:t>
      </w:r>
      <w:r w:rsidRPr="00494D8C">
        <w:rPr>
          <w:bCs/>
        </w:rPr>
        <w:t>"), then the Securities may be redeemed prior to maturity;</w:t>
      </w:r>
    </w:p>
    <w:p w14:paraId="24574440" w14:textId="77777777" w:rsidR="001C5A42" w:rsidRPr="00494D8C" w:rsidRDefault="001C5A42" w:rsidP="001C5A42">
      <w:pPr>
        <w:pStyle w:val="NormalOCAshurst"/>
        <w:ind w:left="1701" w:hanging="567"/>
        <w:rPr>
          <w:bCs/>
        </w:rPr>
      </w:pPr>
      <w:r w:rsidRPr="00494D8C">
        <w:rPr>
          <w:bCs/>
        </w:rPr>
        <w:t>•</w:t>
      </w:r>
      <w:r w:rsidRPr="00494D8C">
        <w:rPr>
          <w:bCs/>
        </w:rPr>
        <w:tab/>
        <w:t>if the Reference Asset is a benchmark and it would be unlawful or contradictory to any applicable licensing requirements for the Calculation Agent to determine the level or other value of such Reference Asset or make any other determination in respect of the Securities which it would otherwise be obliged to do so pursuant to the Conditions, then the Securities may be redeemed prior to maturity; and</w:t>
      </w:r>
    </w:p>
    <w:p w14:paraId="42E2094A" w14:textId="007C87A1" w:rsidR="001C5A42" w:rsidRPr="00494D8C" w:rsidRDefault="001C5A42" w:rsidP="001C5A42">
      <w:pPr>
        <w:pStyle w:val="NormalOCAshurst"/>
        <w:ind w:left="1701" w:hanging="567"/>
        <w:rPr>
          <w:bCs/>
        </w:rPr>
      </w:pPr>
      <w:r w:rsidRPr="00494D8C">
        <w:rPr>
          <w:bCs/>
        </w:rPr>
        <w:t>•</w:t>
      </w:r>
      <w:r w:rsidRPr="00494D8C">
        <w:rPr>
          <w:bCs/>
        </w:rPr>
        <w:tab/>
        <w:t>the methodology or other terms of the benchmark could be changed in order to comply with the requirements of the applicable Benchmarks Regulation, or mandatory substitution of a benchmark with a replacement benchmark could be imposed by statute. Any such changes could reduce or increase the rate or level or affect the volatility of the published rate or level, and (depending on the type of the particular Securities) could lead to adjustments to the terms of the Securities including potentially determination by the Calculation Agent of the rate or level in its discretion.</w:t>
      </w:r>
    </w:p>
    <w:p w14:paraId="6D7FF08A" w14:textId="2D29001F" w:rsidR="001C5A42" w:rsidRPr="00494D8C" w:rsidRDefault="001C5A42" w:rsidP="001C5A42">
      <w:pPr>
        <w:pStyle w:val="NormalOCAshurst"/>
        <w:ind w:left="1134"/>
        <w:rPr>
          <w:bCs/>
          <w:i/>
          <w:iCs/>
        </w:rPr>
      </w:pPr>
      <w:r w:rsidRPr="00494D8C">
        <w:rPr>
          <w:bCs/>
        </w:rPr>
        <w:t>Ongoing national and international regulatory reforms and the increased regulatory scrutiny of benchmarks generally could increase the costs and risks of administering or otherwise participating in the setting of a benchmark and complying with any applicable regulations or requirements. Such factors may discourage market participants from continuing to administer or contribute to benchmarks, trigger changes in the rules or methodologies used in respect of benchmarks, and/or lead to the disappearance of benchmarks. This could result in (i) the substitution of replacement rates for such benchmark(s), (ii) adjustments to the terms of the relevant Securities, (iii) early redemption of the relevant Securities, (iv) discretionary valuation of the rate by the Calculation Agent, (v) delisting of the relevant Securities and/or (vi) other consequences for Securities linked to any such benchmark(s). Any such consequence could have a material adverse effect on the value of and return on any Securities linked to, referencing, or otherwise dependent (in whole or in part) upon, a benchmark."</w:t>
      </w:r>
    </w:p>
    <w:p w14:paraId="78B8716E" w14:textId="60A62FA9" w:rsidR="0038625B" w:rsidRPr="00494D8C" w:rsidRDefault="0038625B" w:rsidP="0038625B">
      <w:pPr>
        <w:pStyle w:val="NormalOCAshurst"/>
        <w:ind w:left="567" w:hanging="567"/>
        <w:rPr>
          <w:bCs/>
        </w:rPr>
      </w:pPr>
      <w:r w:rsidRPr="00494D8C">
        <w:rPr>
          <w:bCs/>
        </w:rPr>
        <w:t>(i</w:t>
      </w:r>
      <w:r w:rsidR="001C5A42" w:rsidRPr="00494D8C">
        <w:rPr>
          <w:bCs/>
        </w:rPr>
        <w:t>i</w:t>
      </w:r>
      <w:r w:rsidRPr="00494D8C">
        <w:rPr>
          <w:bCs/>
        </w:rPr>
        <w:t>i)</w:t>
      </w:r>
      <w:r w:rsidRPr="00494D8C">
        <w:rPr>
          <w:bCs/>
        </w:rPr>
        <w:tab/>
        <w:t>Risk Factors 4.4(a) (</w:t>
      </w:r>
      <w:r w:rsidRPr="00494D8C">
        <w:rPr>
          <w:bCs/>
          <w:i/>
          <w:iCs/>
        </w:rPr>
        <w:t>Discontinuance and/or loss of representativeness of Interbank Offered Rates and swap rates</w:t>
      </w:r>
      <w:r w:rsidRPr="00494D8C">
        <w:rPr>
          <w:bCs/>
        </w:rPr>
        <w:t>)</w:t>
      </w:r>
      <w:r w:rsidR="00451469" w:rsidRPr="00494D8C">
        <w:rPr>
          <w:bCs/>
        </w:rPr>
        <w:t xml:space="preserve">, 4.4(b) </w:t>
      </w:r>
      <w:r w:rsidR="00E23E5B" w:rsidRPr="00494D8C">
        <w:rPr>
          <w:bCs/>
        </w:rPr>
        <w:t>(</w:t>
      </w:r>
      <w:r w:rsidR="00E23E5B" w:rsidRPr="00494D8C">
        <w:rPr>
          <w:bCs/>
          <w:i/>
          <w:iCs/>
        </w:rPr>
        <w:t>Transition of 'tough legacy' contracts and instruments</w:t>
      </w:r>
      <w:r w:rsidR="00E23E5B" w:rsidRPr="00494D8C">
        <w:rPr>
          <w:bCs/>
        </w:rPr>
        <w:t>)</w:t>
      </w:r>
      <w:r w:rsidR="00A16450" w:rsidRPr="00494D8C">
        <w:rPr>
          <w:bCs/>
        </w:rPr>
        <w:t xml:space="preserve"> and</w:t>
      </w:r>
      <w:r w:rsidR="00451469" w:rsidRPr="00494D8C">
        <w:rPr>
          <w:bCs/>
        </w:rPr>
        <w:t xml:space="preserve"> 4.4(c) (</w:t>
      </w:r>
      <w:r w:rsidR="00451469" w:rsidRPr="00494D8C">
        <w:rPr>
          <w:bCs/>
          <w:i/>
          <w:iCs/>
        </w:rPr>
        <w:t xml:space="preserve">Replacement of </w:t>
      </w:r>
      <w:proofErr w:type="spellStart"/>
      <w:r w:rsidR="00451469" w:rsidRPr="00494D8C">
        <w:rPr>
          <w:bCs/>
          <w:i/>
          <w:iCs/>
        </w:rPr>
        <w:t>IBORs</w:t>
      </w:r>
      <w:proofErr w:type="spellEnd"/>
      <w:r w:rsidR="00451469" w:rsidRPr="00494D8C">
        <w:rPr>
          <w:bCs/>
          <w:i/>
          <w:iCs/>
        </w:rPr>
        <w:t xml:space="preserve"> with risk free rates</w:t>
      </w:r>
      <w:r w:rsidR="00451469" w:rsidRPr="00494D8C">
        <w:rPr>
          <w:bCs/>
        </w:rPr>
        <w:t>)</w:t>
      </w:r>
      <w:r w:rsidRPr="00494D8C">
        <w:rPr>
          <w:bCs/>
        </w:rPr>
        <w:t xml:space="preserve"> on pages 86 to 89 of the Original Offering Circular shall be deleted and replaced with the following:</w:t>
      </w:r>
      <w:r w:rsidR="00F107BB" w:rsidRPr="00494D8C">
        <w:rPr>
          <w:bCs/>
        </w:rPr>
        <w:t xml:space="preserve"> </w:t>
      </w:r>
    </w:p>
    <w:p w14:paraId="53324B1C" w14:textId="1E9DCC1D" w:rsidR="00EC397E" w:rsidRPr="00494D8C" w:rsidRDefault="00EC397E" w:rsidP="00F85654">
      <w:pPr>
        <w:pStyle w:val="NormalOCAshurst"/>
        <w:ind w:left="1134" w:hanging="567"/>
        <w:rPr>
          <w:bCs/>
        </w:rPr>
      </w:pPr>
      <w:r w:rsidRPr="00494D8C">
        <w:rPr>
          <w:bCs/>
        </w:rPr>
        <w:lastRenderedPageBreak/>
        <w:t>"(a)</w:t>
      </w:r>
      <w:r w:rsidRPr="00494D8C">
        <w:rPr>
          <w:bCs/>
        </w:rPr>
        <w:tab/>
      </w:r>
      <w:r w:rsidRPr="00494D8C">
        <w:rPr>
          <w:b/>
          <w:i/>
          <w:iCs/>
        </w:rPr>
        <w:t>Discontinuance and/or loss of representativeness of Interbank Offered Rates and swap rates</w:t>
      </w:r>
    </w:p>
    <w:p w14:paraId="4B785BDF" w14:textId="5EBC73E1" w:rsidR="00EC397E" w:rsidRPr="00494D8C" w:rsidRDefault="00A6170E" w:rsidP="0038625B">
      <w:pPr>
        <w:pStyle w:val="NormalOCAshurst"/>
        <w:ind w:left="1701" w:hanging="567"/>
        <w:rPr>
          <w:bCs/>
          <w:i/>
          <w:iCs/>
        </w:rPr>
      </w:pPr>
      <w:r w:rsidRPr="00494D8C">
        <w:rPr>
          <w:bCs/>
          <w:i/>
          <w:iCs/>
        </w:rPr>
        <w:t xml:space="preserve">Discontinuance/loss of representativeness of </w:t>
      </w:r>
      <w:r w:rsidR="00EC397E" w:rsidRPr="00494D8C">
        <w:rPr>
          <w:bCs/>
          <w:i/>
          <w:iCs/>
        </w:rPr>
        <w:t>Interbank Offered Rates</w:t>
      </w:r>
    </w:p>
    <w:p w14:paraId="636946A9" w14:textId="4ED71F02" w:rsidR="00EC397E" w:rsidRPr="00494D8C" w:rsidRDefault="00EC397E" w:rsidP="0038625B">
      <w:pPr>
        <w:pStyle w:val="NormalOCAshurst"/>
        <w:ind w:left="1134"/>
        <w:rPr>
          <w:bCs/>
        </w:rPr>
      </w:pPr>
      <w:r w:rsidRPr="00494D8C">
        <w:rPr>
          <w:bCs/>
        </w:rPr>
        <w:t>On 5 March 2021, ICE Benchmark Administration Limited</w:t>
      </w:r>
      <w:r w:rsidR="00772C30" w:rsidRPr="00494D8C">
        <w:rPr>
          <w:bCs/>
        </w:rPr>
        <w:t xml:space="preserve"> ("</w:t>
      </w:r>
      <w:proofErr w:type="spellStart"/>
      <w:r w:rsidR="00772C30" w:rsidRPr="00494D8C">
        <w:rPr>
          <w:b/>
        </w:rPr>
        <w:t>IBA</w:t>
      </w:r>
      <w:proofErr w:type="spellEnd"/>
      <w:r w:rsidR="00772C30" w:rsidRPr="00494D8C">
        <w:rPr>
          <w:bCs/>
        </w:rPr>
        <w:t>")</w:t>
      </w:r>
      <w:r w:rsidRPr="00494D8C">
        <w:rPr>
          <w:bCs/>
        </w:rPr>
        <w:t xml:space="preserve">, LIBOR's administrator, announced its intention to cease publication of all LIBOR rates on 31 December 2021, </w:t>
      </w:r>
      <w:r w:rsidR="00772C30" w:rsidRPr="00494D8C">
        <w:rPr>
          <w:bCs/>
        </w:rPr>
        <w:t>except for</w:t>
      </w:r>
      <w:r w:rsidRPr="00494D8C">
        <w:rPr>
          <w:bCs/>
        </w:rPr>
        <w:t xml:space="preserve"> certain US dollar LIBOR rates (as described below), which </w:t>
      </w:r>
      <w:r w:rsidR="00772C30" w:rsidRPr="00494D8C">
        <w:rPr>
          <w:bCs/>
        </w:rPr>
        <w:t>would</w:t>
      </w:r>
      <w:r w:rsidRPr="00494D8C">
        <w:rPr>
          <w:bCs/>
        </w:rPr>
        <w:t xml:space="preserve"> continue until 30 June 2023. On the same day, the </w:t>
      </w:r>
      <w:proofErr w:type="spellStart"/>
      <w:r w:rsidRPr="00494D8C">
        <w:rPr>
          <w:bCs/>
        </w:rPr>
        <w:t>FCA</w:t>
      </w:r>
      <w:proofErr w:type="spellEnd"/>
      <w:r w:rsidRPr="00494D8C">
        <w:rPr>
          <w:bCs/>
        </w:rPr>
        <w:t xml:space="preserve"> announced that:</w:t>
      </w:r>
    </w:p>
    <w:p w14:paraId="58C8BAA1" w14:textId="6C3CB70D" w:rsidR="00EC397E" w:rsidRPr="00494D8C" w:rsidRDefault="00EC397E" w:rsidP="0038625B">
      <w:pPr>
        <w:pStyle w:val="NormalOCAshurst"/>
        <w:ind w:left="1701" w:hanging="567"/>
        <w:rPr>
          <w:bCs/>
        </w:rPr>
      </w:pPr>
      <w:r w:rsidRPr="00494D8C">
        <w:rPr>
          <w:bCs/>
        </w:rPr>
        <w:t>(i)</w:t>
      </w:r>
      <w:r w:rsidRPr="00494D8C">
        <w:rPr>
          <w:bCs/>
        </w:rPr>
        <w:tab/>
        <w:t xml:space="preserve">overnight and twelve-month US dollar LIBOR </w:t>
      </w:r>
      <w:r w:rsidR="00772C30" w:rsidRPr="00494D8C">
        <w:rPr>
          <w:bCs/>
        </w:rPr>
        <w:t>would</w:t>
      </w:r>
      <w:r w:rsidRPr="00494D8C">
        <w:rPr>
          <w:bCs/>
        </w:rPr>
        <w:t xml:space="preserve"> cease to be provided immediately after 30 June 2023; and</w:t>
      </w:r>
    </w:p>
    <w:p w14:paraId="27AC8848" w14:textId="57CBB50A" w:rsidR="00EC397E" w:rsidRPr="00494D8C" w:rsidRDefault="00EC397E" w:rsidP="0038625B">
      <w:pPr>
        <w:pStyle w:val="NormalOCAshurst"/>
        <w:ind w:left="1701" w:hanging="567"/>
        <w:rPr>
          <w:bCs/>
        </w:rPr>
      </w:pPr>
      <w:r w:rsidRPr="00494D8C">
        <w:rPr>
          <w:bCs/>
        </w:rPr>
        <w:t>(ii)</w:t>
      </w:r>
      <w:r w:rsidRPr="00494D8C">
        <w:rPr>
          <w:bCs/>
        </w:rPr>
        <w:tab/>
        <w:t>one-month, three-month and six-month US dollar LIBOR (the "</w:t>
      </w:r>
      <w:r w:rsidRPr="00494D8C">
        <w:rPr>
          <w:b/>
        </w:rPr>
        <w:t>US dollar LIBOR Non-Representative Rates</w:t>
      </w:r>
      <w:r w:rsidRPr="00494D8C">
        <w:rPr>
          <w:bCs/>
        </w:rPr>
        <w:t xml:space="preserve">") </w:t>
      </w:r>
      <w:r w:rsidR="00772C30" w:rsidRPr="00494D8C">
        <w:rPr>
          <w:bCs/>
        </w:rPr>
        <w:t>would</w:t>
      </w:r>
      <w:r w:rsidRPr="00494D8C">
        <w:rPr>
          <w:bCs/>
        </w:rPr>
        <w:t xml:space="preserve"> cease to be representative of their underlying market from 30 June 2023, and representativeness </w:t>
      </w:r>
      <w:r w:rsidR="00772C30" w:rsidRPr="00494D8C">
        <w:rPr>
          <w:bCs/>
        </w:rPr>
        <w:t>would not</w:t>
      </w:r>
      <w:r w:rsidRPr="00494D8C">
        <w:rPr>
          <w:bCs/>
        </w:rPr>
        <w:t xml:space="preserve"> be restored.</w:t>
      </w:r>
    </w:p>
    <w:p w14:paraId="3442F982" w14:textId="5B9042D2" w:rsidR="00A6170E" w:rsidRPr="00494D8C" w:rsidRDefault="00772C30" w:rsidP="0038625B">
      <w:pPr>
        <w:pStyle w:val="NormalOCAshurst"/>
        <w:ind w:left="1134"/>
        <w:rPr>
          <w:bCs/>
        </w:rPr>
      </w:pPr>
      <w:r w:rsidRPr="00494D8C">
        <w:rPr>
          <w:bCs/>
        </w:rPr>
        <w:t xml:space="preserve">Use of </w:t>
      </w:r>
      <w:r w:rsidR="00A6170E" w:rsidRPr="00494D8C">
        <w:rPr>
          <w:bCs/>
        </w:rPr>
        <w:t xml:space="preserve">overnight, one-month, three-month, six-month and twelve-month US dollar LIBOR in new contracts by UK supervised entities </w:t>
      </w:r>
      <w:r w:rsidRPr="00494D8C">
        <w:rPr>
          <w:bCs/>
        </w:rPr>
        <w:t>has been</w:t>
      </w:r>
      <w:r w:rsidR="00A6170E" w:rsidRPr="00494D8C">
        <w:rPr>
          <w:bCs/>
        </w:rPr>
        <w:t xml:space="preserve"> prohibited by the </w:t>
      </w:r>
      <w:proofErr w:type="spellStart"/>
      <w:r w:rsidR="00A6170E" w:rsidRPr="00494D8C">
        <w:rPr>
          <w:bCs/>
        </w:rPr>
        <w:t>FCA</w:t>
      </w:r>
      <w:proofErr w:type="spellEnd"/>
      <w:r w:rsidRPr="00494D8C">
        <w:rPr>
          <w:bCs/>
        </w:rPr>
        <w:t xml:space="preserve"> since the end of 2021</w:t>
      </w:r>
      <w:r w:rsidR="00A6170E" w:rsidRPr="00494D8C">
        <w:rPr>
          <w:bCs/>
        </w:rPr>
        <w:t>, except in certain specific scenarios.</w:t>
      </w:r>
    </w:p>
    <w:p w14:paraId="20F50B2C" w14:textId="7EB65760" w:rsidR="00EC397E" w:rsidRPr="00494D8C" w:rsidRDefault="00EC397E" w:rsidP="0038625B">
      <w:pPr>
        <w:pStyle w:val="NormalOCAshurst"/>
        <w:ind w:left="1134"/>
        <w:rPr>
          <w:bCs/>
        </w:rPr>
      </w:pPr>
      <w:r w:rsidRPr="00494D8C">
        <w:rPr>
          <w:bCs/>
        </w:rPr>
        <w:t xml:space="preserve">The </w:t>
      </w:r>
      <w:proofErr w:type="spellStart"/>
      <w:r w:rsidRPr="00494D8C">
        <w:rPr>
          <w:bCs/>
        </w:rPr>
        <w:t>FCA</w:t>
      </w:r>
      <w:proofErr w:type="spellEnd"/>
      <w:r w:rsidRPr="00494D8C">
        <w:rPr>
          <w:bCs/>
        </w:rPr>
        <w:t xml:space="preserve"> also announced that the following would cease to be representative of their underlying market immediately after 31 December 2021, and representativeness would not be restored:</w:t>
      </w:r>
    </w:p>
    <w:p w14:paraId="73BA68BA" w14:textId="0210D328" w:rsidR="00EC397E" w:rsidRPr="00494D8C" w:rsidRDefault="00EC397E" w:rsidP="0038625B">
      <w:pPr>
        <w:pStyle w:val="NormalOCAshurst"/>
        <w:ind w:left="1701" w:hanging="567"/>
        <w:rPr>
          <w:bCs/>
        </w:rPr>
      </w:pPr>
      <w:r w:rsidRPr="00494D8C">
        <w:rPr>
          <w:bCs/>
        </w:rPr>
        <w:t>(i)</w:t>
      </w:r>
      <w:r w:rsidRPr="00494D8C">
        <w:rPr>
          <w:bCs/>
        </w:rPr>
        <w:tab/>
        <w:t>one-month, three-month and six-month sterling LIBOR (the "</w:t>
      </w:r>
      <w:r w:rsidRPr="00494D8C">
        <w:rPr>
          <w:b/>
        </w:rPr>
        <w:t>Sterling LIBOR Non-Representative Rates</w:t>
      </w:r>
      <w:r w:rsidRPr="00494D8C">
        <w:rPr>
          <w:bCs/>
        </w:rPr>
        <w:t>"</w:t>
      </w:r>
      <w:r w:rsidR="00730118" w:rsidRPr="00494D8C">
        <w:rPr>
          <w:bCs/>
        </w:rPr>
        <w:t>, and each a "</w:t>
      </w:r>
      <w:r w:rsidR="00730118" w:rsidRPr="00494D8C">
        <w:rPr>
          <w:b/>
        </w:rPr>
        <w:t>Sterling LIBOR Non-Representative Rate</w:t>
      </w:r>
      <w:r w:rsidR="00730118" w:rsidRPr="00494D8C">
        <w:rPr>
          <w:bCs/>
        </w:rPr>
        <w:t>"</w:t>
      </w:r>
      <w:r w:rsidRPr="00494D8C">
        <w:rPr>
          <w:bCs/>
        </w:rPr>
        <w:t>); and</w:t>
      </w:r>
    </w:p>
    <w:p w14:paraId="5150AE4A" w14:textId="77777777" w:rsidR="00EC397E" w:rsidRPr="00494D8C" w:rsidRDefault="00EC397E" w:rsidP="0038625B">
      <w:pPr>
        <w:pStyle w:val="NormalOCAshurst"/>
        <w:ind w:left="1701" w:hanging="567"/>
        <w:rPr>
          <w:bCs/>
        </w:rPr>
      </w:pPr>
      <w:r w:rsidRPr="00494D8C">
        <w:rPr>
          <w:bCs/>
        </w:rPr>
        <w:t>(ii)</w:t>
      </w:r>
      <w:r w:rsidRPr="00494D8C">
        <w:rPr>
          <w:bCs/>
        </w:rPr>
        <w:tab/>
        <w:t>one-month, three-month and six-month Japanese yen LIBOR (the "</w:t>
      </w:r>
      <w:r w:rsidRPr="00494D8C">
        <w:rPr>
          <w:b/>
        </w:rPr>
        <w:t>Japanese yen LIBOR Non-Representative Rates</w:t>
      </w:r>
      <w:r w:rsidRPr="00494D8C">
        <w:rPr>
          <w:bCs/>
        </w:rPr>
        <w:t>").</w:t>
      </w:r>
    </w:p>
    <w:p w14:paraId="601A70AD" w14:textId="77777777" w:rsidR="00A6170E" w:rsidRPr="00494D8C" w:rsidRDefault="00A6170E" w:rsidP="00A6170E">
      <w:pPr>
        <w:pStyle w:val="NormalOCAshurst"/>
        <w:spacing w:after="0"/>
        <w:ind w:left="1134"/>
        <w:rPr>
          <w:bCs/>
          <w:i/>
          <w:iCs/>
        </w:rPr>
      </w:pPr>
      <w:r w:rsidRPr="00494D8C">
        <w:rPr>
          <w:bCs/>
          <w:i/>
          <w:iCs/>
        </w:rPr>
        <w:t>Synthetic sterling and Japanese yen LIBOR</w:t>
      </w:r>
      <w:r w:rsidRPr="00494D8C">
        <w:rPr>
          <w:bCs/>
          <w:i/>
          <w:iCs/>
        </w:rPr>
        <w:cr/>
      </w:r>
    </w:p>
    <w:p w14:paraId="40542017" w14:textId="60B39E26" w:rsidR="006409DF" w:rsidRPr="00494D8C" w:rsidRDefault="006409DF" w:rsidP="006409DF">
      <w:pPr>
        <w:pStyle w:val="NormalOCAshurst"/>
        <w:ind w:left="1134"/>
        <w:rPr>
          <w:bCs/>
        </w:rPr>
      </w:pPr>
      <w:r w:rsidRPr="00494D8C">
        <w:rPr>
          <w:bCs/>
        </w:rPr>
        <w:t xml:space="preserve">The </w:t>
      </w:r>
      <w:proofErr w:type="spellStart"/>
      <w:r w:rsidRPr="00494D8C">
        <w:rPr>
          <w:bCs/>
        </w:rPr>
        <w:t>FCA</w:t>
      </w:r>
      <w:proofErr w:type="spellEnd"/>
      <w:r w:rsidRPr="00494D8C">
        <w:rPr>
          <w:bCs/>
        </w:rPr>
        <w:t xml:space="preserve"> subsequently exercised powers conferred on it under the UK Benchmarks Regulation to compel the continued publication of the Sterling LIBOR Non-Representative Rates and the Japanese yen LIBOR Non-Representative Rates for a period of time after 31 December 2021 on the basis of a "synthetic" methodology, comprising the applicable forward-looking term rate plus </w:t>
      </w:r>
      <w:r w:rsidR="00185C65" w:rsidRPr="00494D8C">
        <w:rPr>
          <w:bCs/>
        </w:rPr>
        <w:t>the relevant ISDA</w:t>
      </w:r>
      <w:r w:rsidRPr="00494D8C">
        <w:rPr>
          <w:bCs/>
        </w:rPr>
        <w:t xml:space="preserve"> fixed spread. </w:t>
      </w:r>
    </w:p>
    <w:p w14:paraId="765FD9E9" w14:textId="77777777" w:rsidR="006409DF" w:rsidRPr="00494D8C" w:rsidRDefault="006409DF" w:rsidP="006409DF">
      <w:pPr>
        <w:pStyle w:val="NormalOCAshurst"/>
        <w:ind w:left="1134"/>
        <w:rPr>
          <w:bCs/>
        </w:rPr>
      </w:pPr>
      <w:r w:rsidRPr="00494D8C">
        <w:rPr>
          <w:bCs/>
        </w:rPr>
        <w:t>Whilst the synthetic forms of the Japanese yen LIBOR Non-Representative Rates and the one-month and six-month tenors of the Sterling LIBOR Non-Representative Rates have since been discontinued, the synthetic form of the three-month Sterling LIBOR Non-Representative Rate will continue until 31 March 2024, immediately after which it will be discontinued.</w:t>
      </w:r>
    </w:p>
    <w:p w14:paraId="5637AB64" w14:textId="77777777" w:rsidR="006409DF" w:rsidRPr="00494D8C" w:rsidRDefault="006409DF" w:rsidP="006409DF">
      <w:pPr>
        <w:pStyle w:val="NormalOCAshurst"/>
        <w:ind w:left="1134"/>
        <w:rPr>
          <w:bCs/>
          <w:i/>
          <w:iCs/>
        </w:rPr>
      </w:pPr>
      <w:r w:rsidRPr="00494D8C">
        <w:rPr>
          <w:bCs/>
          <w:i/>
          <w:iCs/>
        </w:rPr>
        <w:t>Synthetic US dollar LIBOR</w:t>
      </w:r>
    </w:p>
    <w:p w14:paraId="30B6FCF6" w14:textId="37439F23" w:rsidR="006409DF" w:rsidRPr="00494D8C" w:rsidRDefault="006409DF" w:rsidP="006409DF">
      <w:pPr>
        <w:pStyle w:val="NormalOCAshurst"/>
        <w:ind w:left="1134"/>
        <w:rPr>
          <w:bCs/>
        </w:rPr>
      </w:pPr>
      <w:r w:rsidRPr="00494D8C">
        <w:rPr>
          <w:bCs/>
        </w:rPr>
        <w:t xml:space="preserve">In April 2023, the </w:t>
      </w:r>
      <w:proofErr w:type="spellStart"/>
      <w:r w:rsidRPr="00494D8C">
        <w:rPr>
          <w:bCs/>
        </w:rPr>
        <w:t>FCA</w:t>
      </w:r>
      <w:proofErr w:type="spellEnd"/>
      <w:r w:rsidRPr="00494D8C">
        <w:rPr>
          <w:bCs/>
        </w:rPr>
        <w:t xml:space="preserve"> confirmed that, absent unforeseen and material events, it intends to compel the continued publication of the US dollar LIBOR Non-Representative Rates in synthetic form until the end of September 2024</w:t>
      </w:r>
      <w:r w:rsidR="00185C65" w:rsidRPr="00494D8C">
        <w:rPr>
          <w:bCs/>
        </w:rPr>
        <w:t>, immediately after which they will be discontinued. Since 1 July 2023, synthetic US dollar LIBOR has been calculated as the forward-looking term SOFR rate provided by CME Group Benchmark Administration for the applicable tenor plus the relevant ISDA fixed spread.</w:t>
      </w:r>
    </w:p>
    <w:p w14:paraId="771336D7" w14:textId="77777777" w:rsidR="006409DF" w:rsidRPr="00494D8C" w:rsidRDefault="006409DF" w:rsidP="006409DF">
      <w:pPr>
        <w:pStyle w:val="NormalOCAshurst"/>
        <w:ind w:left="1134"/>
        <w:rPr>
          <w:bCs/>
          <w:i/>
          <w:iCs/>
        </w:rPr>
      </w:pPr>
      <w:r w:rsidRPr="00494D8C">
        <w:rPr>
          <w:bCs/>
          <w:i/>
          <w:iCs/>
        </w:rPr>
        <w:t>Use of synthetic rates</w:t>
      </w:r>
    </w:p>
    <w:p w14:paraId="7338378F" w14:textId="77777777" w:rsidR="00185C65" w:rsidRPr="00494D8C" w:rsidRDefault="006409DF" w:rsidP="006409DF">
      <w:pPr>
        <w:pStyle w:val="NormalOCAshurst"/>
        <w:ind w:left="1134"/>
        <w:rPr>
          <w:bCs/>
        </w:rPr>
      </w:pPr>
      <w:r w:rsidRPr="00494D8C">
        <w:rPr>
          <w:bCs/>
        </w:rPr>
        <w:t>Pursuant to the UK Benchmarks Regulation and the Critical Benchmarks (References and Administrators' Liability) Act 2021</w:t>
      </w:r>
      <w:r w:rsidR="00185C65" w:rsidRPr="00494D8C">
        <w:rPr>
          <w:bCs/>
        </w:rPr>
        <w:t>:</w:t>
      </w:r>
    </w:p>
    <w:p w14:paraId="596E81F9" w14:textId="68EC9D89" w:rsidR="00185C65" w:rsidRPr="00494D8C" w:rsidRDefault="00185C65" w:rsidP="00185C65">
      <w:pPr>
        <w:pStyle w:val="NormalOCAshurst"/>
        <w:ind w:left="1701" w:hanging="567"/>
        <w:rPr>
          <w:bCs/>
        </w:rPr>
      </w:pPr>
      <w:r w:rsidRPr="00494D8C">
        <w:rPr>
          <w:bCs/>
        </w:rPr>
        <w:t>(i)</w:t>
      </w:r>
      <w:r w:rsidRPr="00494D8C">
        <w:rPr>
          <w:bCs/>
        </w:rPr>
        <w:tab/>
        <w:t xml:space="preserve">use </w:t>
      </w:r>
      <w:r w:rsidR="006409DF" w:rsidRPr="00494D8C">
        <w:rPr>
          <w:bCs/>
        </w:rPr>
        <w:t>of the synthetic form of the three-month Sterling LIBOR Non-Representative Rate is permitted, while it is available, in all in-scope legacy contracts (other than cleared derivatives) that had not transitioned to an alternative rate by 31 December 2021</w:t>
      </w:r>
      <w:r w:rsidRPr="00494D8C">
        <w:rPr>
          <w:bCs/>
        </w:rPr>
        <w:t>; and</w:t>
      </w:r>
    </w:p>
    <w:p w14:paraId="372BCF44" w14:textId="1AD18E86" w:rsidR="006409DF" w:rsidRPr="00494D8C" w:rsidRDefault="00185C65" w:rsidP="00185C65">
      <w:pPr>
        <w:pStyle w:val="NormalOCAshurst"/>
        <w:ind w:left="1701" w:hanging="567"/>
        <w:rPr>
          <w:bCs/>
        </w:rPr>
      </w:pPr>
      <w:r w:rsidRPr="00494D8C">
        <w:rPr>
          <w:bCs/>
        </w:rPr>
        <w:lastRenderedPageBreak/>
        <w:t>(ii)</w:t>
      </w:r>
      <w:r w:rsidRPr="00494D8C">
        <w:rPr>
          <w:bCs/>
        </w:rPr>
        <w:tab/>
        <w:t>u</w:t>
      </w:r>
      <w:r w:rsidR="006409DF" w:rsidRPr="00494D8C">
        <w:rPr>
          <w:bCs/>
        </w:rPr>
        <w:t xml:space="preserve">se of the synthetic forms of </w:t>
      </w:r>
      <w:r w:rsidRPr="00494D8C">
        <w:rPr>
          <w:bCs/>
        </w:rPr>
        <w:t xml:space="preserve">the </w:t>
      </w:r>
      <w:r w:rsidR="006409DF" w:rsidRPr="00494D8C">
        <w:rPr>
          <w:bCs/>
        </w:rPr>
        <w:t>US dollar LIBOR Non-Representative Rates will, while they are available, be permitted in all in-scope legacy contracts (other than cleared derivatives) that ha</w:t>
      </w:r>
      <w:r w:rsidRPr="00494D8C">
        <w:rPr>
          <w:bCs/>
        </w:rPr>
        <w:t>d</w:t>
      </w:r>
      <w:r w:rsidR="006409DF" w:rsidRPr="00494D8C">
        <w:rPr>
          <w:bCs/>
        </w:rPr>
        <w:t xml:space="preserve"> not transitioned to an alternative rate by 30 June 2023. </w:t>
      </w:r>
    </w:p>
    <w:p w14:paraId="4ADACA48" w14:textId="5C8F411F" w:rsidR="00EC397E" w:rsidRPr="00494D8C" w:rsidRDefault="006409DF" w:rsidP="006409DF">
      <w:pPr>
        <w:pStyle w:val="NormalOCAshurst"/>
        <w:ind w:left="1134"/>
        <w:rPr>
          <w:b/>
        </w:rPr>
      </w:pPr>
      <w:r w:rsidRPr="00494D8C">
        <w:rPr>
          <w:b/>
        </w:rPr>
        <w:t xml:space="preserve">Synthetic LIBOR rates </w:t>
      </w:r>
      <w:r w:rsidR="00185C65" w:rsidRPr="00494D8C">
        <w:rPr>
          <w:b/>
        </w:rPr>
        <w:t>are</w:t>
      </w:r>
      <w:r w:rsidRPr="00494D8C">
        <w:rPr>
          <w:b/>
        </w:rPr>
        <w:t xml:space="preserve"> not</w:t>
      </w:r>
      <w:r w:rsidR="00185C65" w:rsidRPr="00494D8C">
        <w:rPr>
          <w:b/>
        </w:rPr>
        <w:t xml:space="preserve"> representative and may not be</w:t>
      </w:r>
      <w:r w:rsidRPr="00494D8C">
        <w:rPr>
          <w:b/>
        </w:rPr>
        <w:t xml:space="preserve"> referenced in new financial instruments.</w:t>
      </w:r>
    </w:p>
    <w:p w14:paraId="75FD2F4A" w14:textId="77777777" w:rsidR="00EC397E" w:rsidRPr="00494D8C" w:rsidRDefault="00EC397E" w:rsidP="0038625B">
      <w:pPr>
        <w:pStyle w:val="NormalOCAshurst"/>
        <w:ind w:left="1701" w:hanging="567"/>
        <w:rPr>
          <w:bCs/>
          <w:i/>
          <w:iCs/>
        </w:rPr>
      </w:pPr>
      <w:r w:rsidRPr="00494D8C">
        <w:rPr>
          <w:bCs/>
          <w:i/>
          <w:iCs/>
        </w:rPr>
        <w:t>Swap Rates</w:t>
      </w:r>
    </w:p>
    <w:p w14:paraId="050E299F" w14:textId="77777777" w:rsidR="00FF45EB" w:rsidRPr="00494D8C" w:rsidRDefault="00EC397E" w:rsidP="0038625B">
      <w:pPr>
        <w:pStyle w:val="NormalOCAshurst"/>
        <w:ind w:left="1134"/>
        <w:rPr>
          <w:bCs/>
        </w:rPr>
      </w:pPr>
      <w:r w:rsidRPr="00494D8C">
        <w:rPr>
          <w:bCs/>
        </w:rPr>
        <w:t xml:space="preserve">On 31 December 2021, </w:t>
      </w:r>
      <w:proofErr w:type="spellStart"/>
      <w:r w:rsidR="00FF45EB" w:rsidRPr="00494D8C">
        <w:rPr>
          <w:bCs/>
        </w:rPr>
        <w:t>IBA</w:t>
      </w:r>
      <w:proofErr w:type="spellEnd"/>
      <w:r w:rsidR="00FF45EB" w:rsidRPr="00494D8C">
        <w:rPr>
          <w:bCs/>
        </w:rPr>
        <w:t xml:space="preserve"> </w:t>
      </w:r>
      <w:r w:rsidRPr="00494D8C">
        <w:rPr>
          <w:bCs/>
        </w:rPr>
        <w:t>ceased publication of the sterling LIBOR ICE Swap Rate for all tenors</w:t>
      </w:r>
      <w:r w:rsidR="00FF45EB" w:rsidRPr="00494D8C">
        <w:rPr>
          <w:bCs/>
        </w:rPr>
        <w:t>.</w:t>
      </w:r>
    </w:p>
    <w:p w14:paraId="0D0C33AE" w14:textId="3EF82B09" w:rsidR="00EC397E" w:rsidRPr="00494D8C" w:rsidRDefault="00FF45EB" w:rsidP="0038625B">
      <w:pPr>
        <w:pStyle w:val="NormalOCAshurst"/>
        <w:ind w:left="1134"/>
        <w:rPr>
          <w:bCs/>
        </w:rPr>
      </w:pPr>
      <w:r w:rsidRPr="00494D8C">
        <w:rPr>
          <w:bCs/>
        </w:rPr>
        <w:t xml:space="preserve">On 30 June 2023, </w:t>
      </w:r>
      <w:proofErr w:type="spellStart"/>
      <w:r w:rsidRPr="00494D8C">
        <w:rPr>
          <w:bCs/>
        </w:rPr>
        <w:t>I</w:t>
      </w:r>
      <w:r w:rsidR="00EC397E" w:rsidRPr="00494D8C">
        <w:rPr>
          <w:bCs/>
        </w:rPr>
        <w:t>BA</w:t>
      </w:r>
      <w:proofErr w:type="spellEnd"/>
      <w:r w:rsidRPr="00494D8C">
        <w:rPr>
          <w:bCs/>
        </w:rPr>
        <w:t xml:space="preserve"> ceased publication of</w:t>
      </w:r>
      <w:r w:rsidR="00EC397E" w:rsidRPr="00494D8C">
        <w:rPr>
          <w:bCs/>
        </w:rPr>
        <w:t xml:space="preserve"> the US dollar LIBOR ICE Swap Rate for all tenors.</w:t>
      </w:r>
    </w:p>
    <w:p w14:paraId="28274F30" w14:textId="77777777" w:rsidR="00EC397E" w:rsidRPr="00494D8C" w:rsidRDefault="00EC397E" w:rsidP="0038625B">
      <w:pPr>
        <w:pStyle w:val="NormalOCAshurst"/>
        <w:ind w:left="1134"/>
        <w:rPr>
          <w:bCs/>
        </w:rPr>
      </w:pPr>
      <w:r w:rsidRPr="00494D8C">
        <w:rPr>
          <w:bCs/>
        </w:rPr>
        <w:t>In the event that the Securities reference a rate that is discontinued, investors should be aware that such rate will be replaced with an alternative rate that may differ significantly from the original rate. Consequently, Securities may perform differently (which may include payment of a lower interest linked amount) from how they would have performed if the original rate had continued to apply. See also "</w:t>
      </w:r>
      <w:r w:rsidRPr="00494D8C">
        <w:rPr>
          <w:bCs/>
          <w:i/>
          <w:iCs/>
        </w:rPr>
        <w:t xml:space="preserve">Replacement of </w:t>
      </w:r>
      <w:proofErr w:type="spellStart"/>
      <w:r w:rsidRPr="00494D8C">
        <w:rPr>
          <w:bCs/>
          <w:i/>
          <w:iCs/>
        </w:rPr>
        <w:t>IBORs</w:t>
      </w:r>
      <w:proofErr w:type="spellEnd"/>
      <w:r w:rsidRPr="00494D8C">
        <w:rPr>
          <w:bCs/>
          <w:i/>
          <w:iCs/>
        </w:rPr>
        <w:t xml:space="preserve"> with risk-free rates</w:t>
      </w:r>
      <w:r w:rsidRPr="00494D8C">
        <w:rPr>
          <w:bCs/>
        </w:rPr>
        <w:t>" below.</w:t>
      </w:r>
    </w:p>
    <w:p w14:paraId="0715A807" w14:textId="77777777" w:rsidR="00EC397E" w:rsidRPr="00494D8C" w:rsidRDefault="00EC397E" w:rsidP="0038625B">
      <w:pPr>
        <w:pStyle w:val="NormalOCAshurst"/>
        <w:ind w:left="1134" w:hanging="567"/>
        <w:rPr>
          <w:bCs/>
        </w:rPr>
      </w:pPr>
      <w:r w:rsidRPr="00494D8C">
        <w:rPr>
          <w:bCs/>
        </w:rPr>
        <w:t>(b)</w:t>
      </w:r>
      <w:r w:rsidRPr="00494D8C">
        <w:rPr>
          <w:bCs/>
        </w:rPr>
        <w:tab/>
      </w:r>
      <w:r w:rsidRPr="00494D8C">
        <w:rPr>
          <w:b/>
          <w:i/>
          <w:iCs/>
        </w:rPr>
        <w:t>Transition of 'tough legacy' contracts and instruments</w:t>
      </w:r>
    </w:p>
    <w:p w14:paraId="64DBC1DF" w14:textId="77777777" w:rsidR="00EC397E" w:rsidRPr="00494D8C" w:rsidRDefault="00EC397E" w:rsidP="0038625B">
      <w:pPr>
        <w:pStyle w:val="NormalOCAshurst"/>
        <w:ind w:left="1134"/>
        <w:rPr>
          <w:bCs/>
        </w:rPr>
      </w:pPr>
      <w:r w:rsidRPr="00494D8C">
        <w:rPr>
          <w:bCs/>
        </w:rPr>
        <w:t>Legislators and regulators in the UK, the EU and the US have implemented legislative solutions to deal with the issue of so-called tough legacy contracts and instruments, being existing contracts and instruments that do not have appropriate fallback terms and which cannot practicably be amended or transitioned. These include:</w:t>
      </w:r>
    </w:p>
    <w:p w14:paraId="5DA98417" w14:textId="38215DAE" w:rsidR="00EC397E" w:rsidRPr="00494D8C" w:rsidRDefault="00EC397E" w:rsidP="0038625B">
      <w:pPr>
        <w:pStyle w:val="NormalOCAshurst"/>
        <w:ind w:left="1701" w:hanging="567"/>
        <w:rPr>
          <w:bCs/>
        </w:rPr>
      </w:pPr>
      <w:r w:rsidRPr="00494D8C">
        <w:rPr>
          <w:bCs/>
        </w:rPr>
        <w:t>(i)</w:t>
      </w:r>
      <w:r w:rsidRPr="00494D8C">
        <w:rPr>
          <w:bCs/>
        </w:rPr>
        <w:tab/>
        <w:t xml:space="preserve">in the UK, </w:t>
      </w:r>
      <w:r w:rsidR="008E59FC" w:rsidRPr="00494D8C">
        <w:rPr>
          <w:bCs/>
        </w:rPr>
        <w:t>giving</w:t>
      </w:r>
      <w:r w:rsidRPr="00494D8C">
        <w:rPr>
          <w:bCs/>
        </w:rPr>
        <w:t xml:space="preserve"> the </w:t>
      </w:r>
      <w:proofErr w:type="spellStart"/>
      <w:r w:rsidRPr="00494D8C">
        <w:rPr>
          <w:bCs/>
        </w:rPr>
        <w:t>FCA</w:t>
      </w:r>
      <w:proofErr w:type="spellEnd"/>
      <w:r w:rsidRPr="00494D8C">
        <w:rPr>
          <w:bCs/>
        </w:rPr>
        <w:t xml:space="preserve"> the power to change the </w:t>
      </w:r>
      <w:r w:rsidR="008E59FC" w:rsidRPr="00494D8C">
        <w:rPr>
          <w:bCs/>
        </w:rPr>
        <w:t xml:space="preserve">calculation </w:t>
      </w:r>
      <w:r w:rsidRPr="00494D8C">
        <w:rPr>
          <w:bCs/>
        </w:rPr>
        <w:t xml:space="preserve">methodology of rates that are, or are at risk of becoming, unrepresentative and have been designated as "Article </w:t>
      </w:r>
      <w:proofErr w:type="spellStart"/>
      <w:r w:rsidRPr="00494D8C">
        <w:rPr>
          <w:bCs/>
        </w:rPr>
        <w:t>23A</w:t>
      </w:r>
      <w:proofErr w:type="spellEnd"/>
      <w:r w:rsidRPr="00494D8C">
        <w:rPr>
          <w:bCs/>
        </w:rPr>
        <w:t xml:space="preserve"> rates" under the UK Benchmarks Regulation, to create </w:t>
      </w:r>
      <w:r w:rsidR="00F5419A" w:rsidRPr="00494D8C">
        <w:rPr>
          <w:bCs/>
        </w:rPr>
        <w:t>s</w:t>
      </w:r>
      <w:r w:rsidRPr="00494D8C">
        <w:rPr>
          <w:bCs/>
        </w:rPr>
        <w:t xml:space="preserve">ynthetic LIBOR for use </w:t>
      </w:r>
      <w:r w:rsidR="00F5419A" w:rsidRPr="00494D8C">
        <w:rPr>
          <w:bCs/>
        </w:rPr>
        <w:t>in</w:t>
      </w:r>
      <w:r w:rsidRPr="00494D8C">
        <w:rPr>
          <w:bCs/>
        </w:rPr>
        <w:t xml:space="preserve"> legacy contracts and instruments. This power has been exercised in respect of the Sterling LIBOR Non-Representative Rates</w:t>
      </w:r>
      <w:r w:rsidR="008E59FC" w:rsidRPr="00494D8C">
        <w:rPr>
          <w:bCs/>
        </w:rPr>
        <w:t>,</w:t>
      </w:r>
      <w:r w:rsidRPr="00494D8C">
        <w:rPr>
          <w:bCs/>
        </w:rPr>
        <w:t xml:space="preserve"> </w:t>
      </w:r>
      <w:r w:rsidR="008E59FC" w:rsidRPr="00494D8C">
        <w:rPr>
          <w:bCs/>
        </w:rPr>
        <w:t>t</w:t>
      </w:r>
      <w:r w:rsidRPr="00494D8C">
        <w:rPr>
          <w:bCs/>
        </w:rPr>
        <w:t>he Japanese yen LIBOR Non-Representative Rates</w:t>
      </w:r>
      <w:r w:rsidR="00F5419A" w:rsidRPr="00494D8C">
        <w:rPr>
          <w:bCs/>
        </w:rPr>
        <w:t xml:space="preserve">, </w:t>
      </w:r>
      <w:r w:rsidR="008E59FC" w:rsidRPr="00494D8C">
        <w:rPr>
          <w:bCs/>
        </w:rPr>
        <w:t>and</w:t>
      </w:r>
      <w:r w:rsidR="004767D9" w:rsidRPr="00494D8C">
        <w:rPr>
          <w:bCs/>
        </w:rPr>
        <w:t xml:space="preserve"> the US dollar LIBOR Non-Representative Rates </w:t>
      </w:r>
      <w:r w:rsidR="008E59FC" w:rsidRPr="00494D8C">
        <w:rPr>
          <w:bCs/>
        </w:rPr>
        <w:t>as described above</w:t>
      </w:r>
      <w:r w:rsidRPr="00494D8C">
        <w:rPr>
          <w:bCs/>
        </w:rPr>
        <w:t>; and</w:t>
      </w:r>
    </w:p>
    <w:p w14:paraId="4B3D5EC4" w14:textId="77777777" w:rsidR="00EC397E" w:rsidRPr="00494D8C" w:rsidRDefault="00EC397E" w:rsidP="0038625B">
      <w:pPr>
        <w:pStyle w:val="NormalOCAshurst"/>
        <w:ind w:left="1701" w:hanging="567"/>
        <w:rPr>
          <w:bCs/>
        </w:rPr>
      </w:pPr>
      <w:r w:rsidRPr="00494D8C">
        <w:rPr>
          <w:bCs/>
        </w:rPr>
        <w:t>(ii)</w:t>
      </w:r>
      <w:r w:rsidRPr="00494D8C">
        <w:rPr>
          <w:bCs/>
        </w:rPr>
        <w:tab/>
        <w:t>in the EU and US, implementing legislation to replace relevant LIBOR rates in tough legacy contracts and instruments with a designated replacement rate by operation of law in certain circumstances.</w:t>
      </w:r>
    </w:p>
    <w:p w14:paraId="40D7A186" w14:textId="607C75D3" w:rsidR="00EC397E" w:rsidRPr="00494D8C" w:rsidRDefault="00EC397E" w:rsidP="0038625B">
      <w:pPr>
        <w:pStyle w:val="NormalOCAshurst"/>
        <w:ind w:left="1134"/>
        <w:rPr>
          <w:bCs/>
        </w:rPr>
      </w:pPr>
      <w:r w:rsidRPr="00494D8C">
        <w:rPr>
          <w:bCs/>
        </w:rPr>
        <w:t xml:space="preserve">In the event </w:t>
      </w:r>
      <w:r w:rsidR="008E59FC" w:rsidRPr="00494D8C">
        <w:rPr>
          <w:bCs/>
        </w:rPr>
        <w:t>that a</w:t>
      </w:r>
      <w:r w:rsidRPr="00494D8C">
        <w:rPr>
          <w:bCs/>
        </w:rPr>
        <w:t xml:space="preserve"> LIBOR rate falls within the parameters of any such legislation, such LIBOR rate may automatically and by operation of law transition to an alternative rate selected by an official body, committee or working group in the applicable jurisdiction. Any such alternative rate may have little, if any, historical track record, and therefore it may be difficult to compare to other rates and even harder to understand how it may perform in the future. The level of any alternative rate during the term of the Securities may bear little or no relation to the historical actual or historical indicative data. Such alternative rates may have different calculation methodologies and other important differences from the rates that they replace. For example, many potential replacement rates are backward-looking, rather than forward-looking, and can only be calculated at the end of the corresponding calculation period. This means it will not be possible to know at the start of a calculation period what the rate for that calculation period will be for any such replacement rate.</w:t>
      </w:r>
    </w:p>
    <w:p w14:paraId="2B5C5F4F" w14:textId="77777777" w:rsidR="00EC397E" w:rsidRPr="00494D8C" w:rsidRDefault="00EC397E" w:rsidP="0038625B">
      <w:pPr>
        <w:pStyle w:val="NormalOCAshurst"/>
        <w:ind w:left="1134" w:hanging="567"/>
        <w:rPr>
          <w:bCs/>
        </w:rPr>
      </w:pPr>
      <w:r w:rsidRPr="00494D8C">
        <w:rPr>
          <w:bCs/>
        </w:rPr>
        <w:t>(c)</w:t>
      </w:r>
      <w:r w:rsidRPr="00494D8C">
        <w:rPr>
          <w:bCs/>
        </w:rPr>
        <w:tab/>
      </w:r>
      <w:r w:rsidRPr="00494D8C">
        <w:rPr>
          <w:b/>
          <w:i/>
          <w:iCs/>
        </w:rPr>
        <w:t xml:space="preserve">Replacement of </w:t>
      </w:r>
      <w:proofErr w:type="spellStart"/>
      <w:r w:rsidRPr="00494D8C">
        <w:rPr>
          <w:b/>
          <w:i/>
          <w:iCs/>
        </w:rPr>
        <w:t>IBORs</w:t>
      </w:r>
      <w:proofErr w:type="spellEnd"/>
      <w:r w:rsidRPr="00494D8C">
        <w:rPr>
          <w:b/>
          <w:i/>
          <w:iCs/>
        </w:rPr>
        <w:t xml:space="preserve"> with risk free rates</w:t>
      </w:r>
    </w:p>
    <w:p w14:paraId="11C11412" w14:textId="4CCAFDA4" w:rsidR="00EC397E" w:rsidRPr="00494D8C" w:rsidRDefault="00EC397E" w:rsidP="0038625B">
      <w:pPr>
        <w:pStyle w:val="NormalOCAshurst"/>
        <w:ind w:left="1134"/>
        <w:rPr>
          <w:bCs/>
        </w:rPr>
      </w:pPr>
      <w:r w:rsidRPr="00494D8C">
        <w:rPr>
          <w:bCs/>
        </w:rPr>
        <w:t>Regulatory authorities and central banks have identified risk-free rates to replace</w:t>
      </w:r>
      <w:r w:rsidR="004A6CBA" w:rsidRPr="00494D8C">
        <w:rPr>
          <w:bCs/>
        </w:rPr>
        <w:t xml:space="preserve"> interbank offered rates ("</w:t>
      </w:r>
      <w:proofErr w:type="spellStart"/>
      <w:r w:rsidRPr="00494D8C">
        <w:rPr>
          <w:b/>
        </w:rPr>
        <w:t>IBORs</w:t>
      </w:r>
      <w:proofErr w:type="spellEnd"/>
      <w:r w:rsidR="004A6CBA" w:rsidRPr="00494D8C">
        <w:rPr>
          <w:bCs/>
        </w:rPr>
        <w:t>")</w:t>
      </w:r>
      <w:r w:rsidRPr="00494D8C">
        <w:rPr>
          <w:bCs/>
        </w:rPr>
        <w:t xml:space="preserve"> as primary benchmarks. This includes (amongst others):</w:t>
      </w:r>
    </w:p>
    <w:p w14:paraId="372BBD1F" w14:textId="7471317C" w:rsidR="00EC397E" w:rsidRPr="00494D8C" w:rsidRDefault="00EC397E" w:rsidP="0038625B">
      <w:pPr>
        <w:pStyle w:val="NormalOCAshurst"/>
        <w:ind w:left="1701" w:hanging="567"/>
        <w:rPr>
          <w:bCs/>
        </w:rPr>
      </w:pPr>
      <w:r w:rsidRPr="00494D8C">
        <w:rPr>
          <w:bCs/>
        </w:rPr>
        <w:t>(i)</w:t>
      </w:r>
      <w:r w:rsidRPr="00494D8C">
        <w:rPr>
          <w:bCs/>
        </w:rPr>
        <w:tab/>
        <w:t>for sterling LIBOR, the Sterling Overnight Index Average ("</w:t>
      </w:r>
      <w:r w:rsidRPr="00494D8C">
        <w:rPr>
          <w:b/>
        </w:rPr>
        <w:t>SONIA</w:t>
      </w:r>
      <w:r w:rsidRPr="00494D8C">
        <w:rPr>
          <w:bCs/>
        </w:rPr>
        <w:t>");</w:t>
      </w:r>
    </w:p>
    <w:p w14:paraId="24032C26" w14:textId="301F2100" w:rsidR="00EC397E" w:rsidRPr="00494D8C" w:rsidRDefault="00EC397E" w:rsidP="0038625B">
      <w:pPr>
        <w:pStyle w:val="NormalOCAshurst"/>
        <w:ind w:left="1701" w:hanging="567"/>
        <w:rPr>
          <w:bCs/>
        </w:rPr>
      </w:pPr>
      <w:r w:rsidRPr="00494D8C">
        <w:rPr>
          <w:bCs/>
        </w:rPr>
        <w:t>(ii)</w:t>
      </w:r>
      <w:r w:rsidRPr="00494D8C">
        <w:rPr>
          <w:bCs/>
        </w:rPr>
        <w:tab/>
        <w:t>for US dollar LIBOR, the Secured Overnight Financing Rate ("</w:t>
      </w:r>
      <w:r w:rsidRPr="00494D8C">
        <w:rPr>
          <w:b/>
        </w:rPr>
        <w:t>SOFR</w:t>
      </w:r>
      <w:r w:rsidRPr="00494D8C">
        <w:rPr>
          <w:bCs/>
        </w:rPr>
        <w:t>"); and</w:t>
      </w:r>
    </w:p>
    <w:p w14:paraId="28C17823" w14:textId="3541DA5D" w:rsidR="00EC397E" w:rsidRPr="00494D8C" w:rsidRDefault="00EC397E" w:rsidP="0038625B">
      <w:pPr>
        <w:pStyle w:val="NormalOCAshurst"/>
        <w:ind w:left="1701" w:hanging="567"/>
        <w:rPr>
          <w:bCs/>
        </w:rPr>
      </w:pPr>
      <w:r w:rsidRPr="00494D8C">
        <w:rPr>
          <w:bCs/>
        </w:rPr>
        <w:t>(iii)</w:t>
      </w:r>
      <w:r w:rsidRPr="00494D8C">
        <w:rPr>
          <w:bCs/>
        </w:rPr>
        <w:tab/>
        <w:t>for EONIA and EURIBOR, the Euro Short-Term Rate ("</w:t>
      </w:r>
      <w:r w:rsidRPr="00494D8C">
        <w:rPr>
          <w:b/>
        </w:rPr>
        <w:t>€STR</w:t>
      </w:r>
      <w:r w:rsidRPr="00494D8C">
        <w:rPr>
          <w:bCs/>
        </w:rPr>
        <w:t>").</w:t>
      </w:r>
    </w:p>
    <w:p w14:paraId="212A9163" w14:textId="2508E5AB" w:rsidR="00EC397E" w:rsidRPr="00494D8C" w:rsidRDefault="00EC397E" w:rsidP="0038625B">
      <w:pPr>
        <w:pStyle w:val="NormalOCAshurst"/>
        <w:ind w:left="1134"/>
        <w:rPr>
          <w:bCs/>
        </w:rPr>
      </w:pPr>
      <w:r w:rsidRPr="00494D8C">
        <w:rPr>
          <w:bCs/>
        </w:rPr>
        <w:t xml:space="preserve">The reform and replacement of </w:t>
      </w:r>
      <w:proofErr w:type="spellStart"/>
      <w:r w:rsidRPr="00494D8C">
        <w:rPr>
          <w:bCs/>
        </w:rPr>
        <w:t>IBORs</w:t>
      </w:r>
      <w:proofErr w:type="spellEnd"/>
      <w:r w:rsidRPr="00494D8C">
        <w:rPr>
          <w:bCs/>
        </w:rPr>
        <w:t xml:space="preserve"> with risk-free rates may cause the relevant </w:t>
      </w:r>
      <w:proofErr w:type="spellStart"/>
      <w:r w:rsidRPr="00494D8C">
        <w:rPr>
          <w:bCs/>
        </w:rPr>
        <w:t>IBOR</w:t>
      </w:r>
      <w:proofErr w:type="spellEnd"/>
      <w:r w:rsidRPr="00494D8C">
        <w:rPr>
          <w:bCs/>
        </w:rPr>
        <w:t xml:space="preserve"> to perform differently than in the past, to disappear entirely, or have other consequences that cannot be </w:t>
      </w:r>
      <w:r w:rsidRPr="00494D8C">
        <w:rPr>
          <w:bCs/>
        </w:rPr>
        <w:lastRenderedPageBreak/>
        <w:t xml:space="preserve">predicted. These risk-free rates have a different methodology and other important differences from </w:t>
      </w:r>
      <w:proofErr w:type="spellStart"/>
      <w:r w:rsidR="00853E6C" w:rsidRPr="00494D8C">
        <w:rPr>
          <w:bCs/>
        </w:rPr>
        <w:t>IBORs</w:t>
      </w:r>
      <w:proofErr w:type="spellEnd"/>
      <w:r w:rsidRPr="00494D8C">
        <w:rPr>
          <w:bCs/>
        </w:rPr>
        <w:t>. Any of these developments could have a material adverse effect on the value of and return on Securities linked to any such rates. For example, many potential replacement rates are backward-looking, rather than forward-looking, and can only be calculated at the end of the corresponding calculation period (as discussed above).</w:t>
      </w:r>
    </w:p>
    <w:p w14:paraId="79183F0E" w14:textId="7DDBF183" w:rsidR="00EC397E" w:rsidRPr="00494D8C" w:rsidRDefault="00EC397E" w:rsidP="0038625B">
      <w:pPr>
        <w:pStyle w:val="NormalOCAshurst"/>
        <w:ind w:left="1134"/>
        <w:rPr>
          <w:bCs/>
        </w:rPr>
      </w:pPr>
      <w:r w:rsidRPr="00494D8C">
        <w:rPr>
          <w:bCs/>
        </w:rPr>
        <w:t xml:space="preserve">In summary, as at the date </w:t>
      </w:r>
      <w:r w:rsidR="00252E27" w:rsidRPr="00494D8C">
        <w:rPr>
          <w:bCs/>
        </w:rPr>
        <w:t>hereof</w:t>
      </w:r>
      <w:r w:rsidRPr="00494D8C">
        <w:rPr>
          <w:bCs/>
        </w:rPr>
        <w:t xml:space="preserve"> with regard to the transition from </w:t>
      </w:r>
      <w:proofErr w:type="spellStart"/>
      <w:r w:rsidRPr="00494D8C">
        <w:rPr>
          <w:bCs/>
        </w:rPr>
        <w:t>IBORs</w:t>
      </w:r>
      <w:proofErr w:type="spellEnd"/>
      <w:r w:rsidRPr="00494D8C">
        <w:rPr>
          <w:bCs/>
        </w:rPr>
        <w:t xml:space="preserve"> to risk-free rates:</w:t>
      </w:r>
    </w:p>
    <w:p w14:paraId="3237EFDA" w14:textId="706D3FCB" w:rsidR="00EC397E" w:rsidRPr="00494D8C" w:rsidRDefault="00EC397E" w:rsidP="0038625B">
      <w:pPr>
        <w:pStyle w:val="NormalOCAshurst"/>
        <w:ind w:left="1701" w:hanging="567"/>
        <w:rPr>
          <w:bCs/>
        </w:rPr>
      </w:pPr>
      <w:r w:rsidRPr="00494D8C">
        <w:rPr>
          <w:bCs/>
        </w:rPr>
        <w:t>•</w:t>
      </w:r>
      <w:r w:rsidRPr="00494D8C">
        <w:rPr>
          <w:bCs/>
        </w:rPr>
        <w:tab/>
      </w:r>
      <w:r w:rsidRPr="00494D8C">
        <w:rPr>
          <w:bCs/>
          <w:u w:val="single"/>
        </w:rPr>
        <w:t>GBP LIBOR (and GBP SONIA swap rate)</w:t>
      </w:r>
      <w:r w:rsidRPr="00494D8C">
        <w:rPr>
          <w:bCs/>
        </w:rPr>
        <w:t xml:space="preserve">: As described above, </w:t>
      </w:r>
      <w:r w:rsidR="004767D9" w:rsidRPr="00494D8C">
        <w:rPr>
          <w:bCs/>
        </w:rPr>
        <w:t xml:space="preserve">as at the date hereof, only three-month </w:t>
      </w:r>
      <w:r w:rsidRPr="00494D8C">
        <w:rPr>
          <w:bCs/>
        </w:rPr>
        <w:t xml:space="preserve">GBP LIBOR is </w:t>
      </w:r>
      <w:r w:rsidR="004767D9" w:rsidRPr="00494D8C">
        <w:rPr>
          <w:bCs/>
        </w:rPr>
        <w:t>still available and only in synthetic form. It</w:t>
      </w:r>
      <w:r w:rsidRPr="00494D8C">
        <w:rPr>
          <w:bCs/>
        </w:rPr>
        <w:t xml:space="preserve"> may only be used in legacy contracts. The Working Group on Sterling Risk-Free Rates, as mandated by the Bank of England and the </w:t>
      </w:r>
      <w:proofErr w:type="spellStart"/>
      <w:r w:rsidRPr="00494D8C">
        <w:rPr>
          <w:bCs/>
        </w:rPr>
        <w:t>FCA</w:t>
      </w:r>
      <w:proofErr w:type="spellEnd"/>
      <w:r w:rsidRPr="00494D8C">
        <w:rPr>
          <w:bCs/>
        </w:rPr>
        <w:t xml:space="preserve">, has driven a broad-based transition to SONIA across sterling bond, loan and derivative markets, so that SONIA is now established as the primary sterling interest rate benchmark. On 14 December 2020, </w:t>
      </w:r>
      <w:proofErr w:type="spellStart"/>
      <w:r w:rsidRPr="00494D8C">
        <w:rPr>
          <w:bCs/>
        </w:rPr>
        <w:t>IBA</w:t>
      </w:r>
      <w:proofErr w:type="spellEnd"/>
      <w:r w:rsidRPr="00494D8C">
        <w:rPr>
          <w:bCs/>
        </w:rPr>
        <w:t xml:space="preserve"> launched the GBP SONIA ICE Swap Rate.</w:t>
      </w:r>
    </w:p>
    <w:p w14:paraId="26F94A19" w14:textId="163AF415" w:rsidR="00EC397E" w:rsidRPr="00494D8C" w:rsidRDefault="00EC397E" w:rsidP="0038625B">
      <w:pPr>
        <w:pStyle w:val="NormalOCAshurst"/>
        <w:ind w:left="1701" w:hanging="567"/>
        <w:rPr>
          <w:bCs/>
        </w:rPr>
      </w:pPr>
      <w:r w:rsidRPr="00494D8C">
        <w:rPr>
          <w:bCs/>
        </w:rPr>
        <w:t>•</w:t>
      </w:r>
      <w:r w:rsidRPr="00494D8C">
        <w:rPr>
          <w:bCs/>
        </w:rPr>
        <w:tab/>
      </w:r>
      <w:r w:rsidRPr="00494D8C">
        <w:rPr>
          <w:bCs/>
          <w:u w:val="single"/>
        </w:rPr>
        <w:t>USD LIBOR (and USD SOFR swap rate)</w:t>
      </w:r>
      <w:r w:rsidRPr="00494D8C">
        <w:rPr>
          <w:bCs/>
        </w:rPr>
        <w:t>: As described above,</w:t>
      </w:r>
      <w:r w:rsidR="00F77455" w:rsidRPr="00494D8C">
        <w:rPr>
          <w:bCs/>
        </w:rPr>
        <w:t xml:space="preserve"> as at the date hereof,</w:t>
      </w:r>
      <w:r w:rsidRPr="00494D8C">
        <w:rPr>
          <w:bCs/>
        </w:rPr>
        <w:t xml:space="preserve"> </w:t>
      </w:r>
      <w:r w:rsidR="00853E6C" w:rsidRPr="00494D8C">
        <w:rPr>
          <w:bCs/>
        </w:rPr>
        <w:t>only one-month, three-month and six-month</w:t>
      </w:r>
      <w:r w:rsidRPr="00494D8C">
        <w:rPr>
          <w:bCs/>
        </w:rPr>
        <w:t xml:space="preserve"> US</w:t>
      </w:r>
      <w:r w:rsidR="00853E6C" w:rsidRPr="00494D8C">
        <w:rPr>
          <w:bCs/>
        </w:rPr>
        <w:t xml:space="preserve"> dollar</w:t>
      </w:r>
      <w:r w:rsidRPr="00494D8C">
        <w:rPr>
          <w:bCs/>
        </w:rPr>
        <w:t xml:space="preserve"> LIBOR tenors are still </w:t>
      </w:r>
      <w:r w:rsidR="00853E6C" w:rsidRPr="00494D8C">
        <w:rPr>
          <w:bCs/>
        </w:rPr>
        <w:t>available, and only in synthetic form</w:t>
      </w:r>
      <w:r w:rsidRPr="00494D8C">
        <w:rPr>
          <w:bCs/>
        </w:rPr>
        <w:t>. On 22 June 2017, the Alternative Reference Rates Committee (the "</w:t>
      </w:r>
      <w:proofErr w:type="spellStart"/>
      <w:r w:rsidRPr="00494D8C">
        <w:rPr>
          <w:b/>
        </w:rPr>
        <w:t>ARRC</w:t>
      </w:r>
      <w:proofErr w:type="spellEnd"/>
      <w:r w:rsidRPr="00494D8C">
        <w:rPr>
          <w:bCs/>
        </w:rPr>
        <w:t>"), convened by the Board of Governors of the Federal Reserve System and the Federal Reserve Bank of New York (the "</w:t>
      </w:r>
      <w:proofErr w:type="spellStart"/>
      <w:r w:rsidRPr="00494D8C">
        <w:rPr>
          <w:b/>
        </w:rPr>
        <w:t>FRBNY</w:t>
      </w:r>
      <w:proofErr w:type="spellEnd"/>
      <w:r w:rsidRPr="00494D8C">
        <w:rPr>
          <w:bCs/>
        </w:rPr>
        <w:t xml:space="preserve">"), identified SOFR, a broad US treasuries repurchase financing rate published by the </w:t>
      </w:r>
      <w:proofErr w:type="spellStart"/>
      <w:r w:rsidRPr="00494D8C">
        <w:rPr>
          <w:bCs/>
        </w:rPr>
        <w:t>FRBNY</w:t>
      </w:r>
      <w:proofErr w:type="spellEnd"/>
      <w:r w:rsidRPr="00494D8C">
        <w:rPr>
          <w:bCs/>
        </w:rPr>
        <w:t xml:space="preserve">, as the rate that represents best practice for use in new US dollar derivatives and other financial contracts. SOFR is a broad measure of the cost of borrowing cash overnight collateralised by US treasury securities. On 8 November 2021, </w:t>
      </w:r>
      <w:proofErr w:type="spellStart"/>
      <w:r w:rsidRPr="00494D8C">
        <w:rPr>
          <w:bCs/>
        </w:rPr>
        <w:t>IBA</w:t>
      </w:r>
      <w:proofErr w:type="spellEnd"/>
      <w:r w:rsidRPr="00494D8C">
        <w:rPr>
          <w:bCs/>
        </w:rPr>
        <w:t xml:space="preserve"> launched the USD SOFR ICE Swap Rate.</w:t>
      </w:r>
    </w:p>
    <w:p w14:paraId="449C7AFF" w14:textId="77777777" w:rsidR="00EC397E" w:rsidRPr="00494D8C" w:rsidRDefault="00EC397E" w:rsidP="0038625B">
      <w:pPr>
        <w:pStyle w:val="NormalOCAshurst"/>
        <w:ind w:left="1701" w:hanging="567"/>
        <w:rPr>
          <w:bCs/>
        </w:rPr>
      </w:pPr>
      <w:r w:rsidRPr="00494D8C">
        <w:rPr>
          <w:bCs/>
        </w:rPr>
        <w:t>•</w:t>
      </w:r>
      <w:r w:rsidRPr="00494D8C">
        <w:rPr>
          <w:bCs/>
        </w:rPr>
        <w:tab/>
      </w:r>
      <w:r w:rsidRPr="00494D8C">
        <w:rPr>
          <w:bCs/>
          <w:u w:val="single"/>
        </w:rPr>
        <w:t>EURIBOR</w:t>
      </w:r>
      <w:r w:rsidRPr="00494D8C">
        <w:rPr>
          <w:bCs/>
        </w:rPr>
        <w:t>: EURIBOR has been reformed such that it is based on a hybrid methodology. On 13 September 2018, the Working Group on Euro Risk-Free Rates recommended €STR as the new euro risk-free rate, and the European Central Bank began publishing €STR on 2 October 2019. In addition, in May 2021, the Working Group published a set of guiding principles for fallback provisions in new EURIBOR-referencing contracts and financial instruments (including bonds) to address, among other things, the potential future discontinuation of EURIBOR.</w:t>
      </w:r>
    </w:p>
    <w:p w14:paraId="34CBF37A" w14:textId="6F90E61F" w:rsidR="00EC397E" w:rsidRPr="00494D8C" w:rsidRDefault="00EC397E" w:rsidP="0038625B">
      <w:pPr>
        <w:pStyle w:val="NormalOCAshurst"/>
        <w:ind w:left="1701" w:hanging="567"/>
        <w:rPr>
          <w:bCs/>
        </w:rPr>
      </w:pPr>
      <w:r w:rsidRPr="00494D8C">
        <w:rPr>
          <w:bCs/>
        </w:rPr>
        <w:t>•</w:t>
      </w:r>
      <w:r w:rsidRPr="00494D8C">
        <w:rPr>
          <w:bCs/>
        </w:rPr>
        <w:tab/>
      </w:r>
      <w:r w:rsidRPr="00494D8C">
        <w:rPr>
          <w:bCs/>
          <w:u w:val="single"/>
        </w:rPr>
        <w:t xml:space="preserve">Other </w:t>
      </w:r>
      <w:proofErr w:type="spellStart"/>
      <w:r w:rsidRPr="00494D8C">
        <w:rPr>
          <w:bCs/>
          <w:u w:val="single"/>
        </w:rPr>
        <w:t>IBORs</w:t>
      </w:r>
      <w:proofErr w:type="spellEnd"/>
      <w:r w:rsidRPr="00494D8C">
        <w:rPr>
          <w:bCs/>
        </w:rPr>
        <w:t xml:space="preserve">: Similar initiatives are underway in respect of </w:t>
      </w:r>
      <w:proofErr w:type="spellStart"/>
      <w:r w:rsidRPr="00494D8C">
        <w:rPr>
          <w:bCs/>
        </w:rPr>
        <w:t>IBORs</w:t>
      </w:r>
      <w:proofErr w:type="spellEnd"/>
      <w:r w:rsidRPr="00494D8C">
        <w:rPr>
          <w:bCs/>
        </w:rPr>
        <w:t xml:space="preserve"> in various other currencies, including Japanese yen (TIBOR), Hong Kong dollar (</w:t>
      </w:r>
      <w:proofErr w:type="spellStart"/>
      <w:r w:rsidRPr="00494D8C">
        <w:rPr>
          <w:bCs/>
        </w:rPr>
        <w:t>HIBOR</w:t>
      </w:r>
      <w:proofErr w:type="spellEnd"/>
      <w:r w:rsidRPr="00494D8C">
        <w:rPr>
          <w:bCs/>
        </w:rPr>
        <w:t>), Australian dollar (</w:t>
      </w:r>
      <w:proofErr w:type="spellStart"/>
      <w:r w:rsidRPr="00494D8C">
        <w:rPr>
          <w:bCs/>
        </w:rPr>
        <w:t>BBSW</w:t>
      </w:r>
      <w:proofErr w:type="spellEnd"/>
      <w:r w:rsidRPr="00494D8C">
        <w:rPr>
          <w:bCs/>
        </w:rPr>
        <w:t>) Canadian dollar (</w:t>
      </w:r>
      <w:proofErr w:type="spellStart"/>
      <w:r w:rsidRPr="00494D8C">
        <w:rPr>
          <w:bCs/>
        </w:rPr>
        <w:t>CDOR</w:t>
      </w:r>
      <w:proofErr w:type="spellEnd"/>
      <w:r w:rsidRPr="00494D8C">
        <w:rPr>
          <w:bCs/>
        </w:rPr>
        <w:t>), and Swiss franc (CHF LIBOR)</w:t>
      </w:r>
      <w:r w:rsidR="00853E6C" w:rsidRPr="00494D8C">
        <w:rPr>
          <w:bCs/>
        </w:rPr>
        <w:t xml:space="preserve"> </w:t>
      </w:r>
      <w:r w:rsidRPr="00494D8C">
        <w:rPr>
          <w:bCs/>
        </w:rPr>
        <w:t>to transition to identified alternative risk-free rates.</w:t>
      </w:r>
      <w:r w:rsidR="0038625B" w:rsidRPr="00494D8C">
        <w:rPr>
          <w:bCs/>
        </w:rPr>
        <w:t>"</w:t>
      </w:r>
    </w:p>
    <w:p w14:paraId="2173B0E5" w14:textId="16153293" w:rsidR="002967DD" w:rsidRPr="00494D8C" w:rsidRDefault="002967DD" w:rsidP="002967DD">
      <w:pPr>
        <w:pStyle w:val="NormalOCAshurst"/>
        <w:ind w:left="567" w:hanging="567"/>
        <w:rPr>
          <w:bCs/>
        </w:rPr>
      </w:pPr>
      <w:r w:rsidRPr="00494D8C">
        <w:rPr>
          <w:bCs/>
        </w:rPr>
        <w:t>(i</w:t>
      </w:r>
      <w:r w:rsidR="001C5A42" w:rsidRPr="00494D8C">
        <w:rPr>
          <w:bCs/>
        </w:rPr>
        <w:t>v</w:t>
      </w:r>
      <w:r w:rsidRPr="00494D8C">
        <w:rPr>
          <w:bCs/>
        </w:rPr>
        <w:t>)</w:t>
      </w:r>
      <w:r w:rsidRPr="00494D8C">
        <w:rPr>
          <w:bCs/>
        </w:rPr>
        <w:tab/>
        <w:t>Risk Factor 8.2 (</w:t>
      </w:r>
      <w:r w:rsidRPr="00494D8C">
        <w:rPr>
          <w:bCs/>
          <w:i/>
          <w:iCs/>
        </w:rPr>
        <w:t>Additional Amounts on account of withholding tax will not be payable on the Securities in certain circumstances</w:t>
      </w:r>
      <w:r w:rsidRPr="00494D8C">
        <w:rPr>
          <w:bCs/>
        </w:rPr>
        <w:t>) on pages 144 to 145 of the Original Offering Circular shall be deleted and replaced with the following:</w:t>
      </w:r>
    </w:p>
    <w:p w14:paraId="6E55F8DC" w14:textId="17BC7600" w:rsidR="002967DD" w:rsidRPr="00494D8C" w:rsidRDefault="002967DD" w:rsidP="002967DD">
      <w:pPr>
        <w:pStyle w:val="Times"/>
        <w:ind w:left="1276" w:hanging="647"/>
      </w:pPr>
      <w:r w:rsidRPr="00494D8C">
        <w:rPr>
          <w:b w:val="0"/>
          <w:bCs w:val="0"/>
        </w:rPr>
        <w:t>"</w:t>
      </w:r>
      <w:r w:rsidRPr="00494D8C">
        <w:t>8.2</w:t>
      </w:r>
      <w:r w:rsidRPr="00494D8C">
        <w:tab/>
        <w:t>Additional Amounts on account of withholding tax will not be payable on the Securities in certain circumstances</w:t>
      </w:r>
    </w:p>
    <w:p w14:paraId="6EF4EDD4" w14:textId="77777777" w:rsidR="002967DD" w:rsidRPr="00494D8C" w:rsidRDefault="002967DD" w:rsidP="0044680A">
      <w:pPr>
        <w:pStyle w:val="NormalOCAshurst"/>
        <w:ind w:left="1276"/>
      </w:pPr>
      <w:r w:rsidRPr="00494D8C">
        <w:t xml:space="preserve">The Issuer will not pay "Additional Amounts" (as defined in General Condition </w:t>
      </w:r>
      <w:r w:rsidRPr="00494D8C">
        <w:rPr>
          <w:cs/>
        </w:rPr>
        <w:t>‎</w:t>
      </w:r>
      <w:r w:rsidRPr="00494D8C">
        <w:t>18.1 (</w:t>
      </w:r>
      <w:r w:rsidRPr="00494D8C">
        <w:rPr>
          <w:i/>
          <w:iCs/>
        </w:rPr>
        <w:t>Obligation to pay Additional Amounts</w:t>
      </w:r>
      <w:r w:rsidRPr="00494D8C">
        <w:t>) below) to Holders of Securities should withholding taxes become payable on payments of principal or interest by or within a Relevant Jurisdiction where:</w:t>
      </w:r>
    </w:p>
    <w:p w14:paraId="4554D886" w14:textId="77777777" w:rsidR="002967DD" w:rsidRPr="00494D8C" w:rsidRDefault="002967DD" w:rsidP="0044680A">
      <w:pPr>
        <w:pStyle w:val="NormalOCAshurst"/>
        <w:ind w:left="1701" w:hanging="425"/>
      </w:pPr>
      <w:r w:rsidRPr="00494D8C">
        <w:t>•</w:t>
      </w:r>
      <w:r w:rsidRPr="00494D8C">
        <w:tab/>
        <w:t>the Holder is a resident within that Relevant Jurisdiction; or</w:t>
      </w:r>
    </w:p>
    <w:p w14:paraId="630365EB" w14:textId="77777777" w:rsidR="002967DD" w:rsidRPr="00494D8C" w:rsidRDefault="002967DD" w:rsidP="0044680A">
      <w:pPr>
        <w:pStyle w:val="NormalOCAshurst"/>
        <w:ind w:left="1701" w:hanging="425"/>
      </w:pPr>
      <w:r w:rsidRPr="00494D8C">
        <w:t>•</w:t>
      </w:r>
      <w:r w:rsidRPr="00494D8C">
        <w:tab/>
        <w:t>"Gross up" is specified to be "not applicable" in the relevant Pricing Supplement; or</w:t>
      </w:r>
    </w:p>
    <w:p w14:paraId="1469CF07" w14:textId="77777777" w:rsidR="002967DD" w:rsidRPr="00494D8C" w:rsidRDefault="002967DD" w:rsidP="0044680A">
      <w:pPr>
        <w:pStyle w:val="NormalOCAshurst"/>
        <w:ind w:left="1701" w:hanging="425"/>
      </w:pPr>
      <w:r w:rsidRPr="00494D8C">
        <w:t>•</w:t>
      </w:r>
      <w:r w:rsidRPr="00494D8C">
        <w:tab/>
        <w:t xml:space="preserve">if one or more customary or other exceptions (as detailed in General Condition </w:t>
      </w:r>
      <w:r w:rsidRPr="00494D8C">
        <w:rPr>
          <w:cs/>
        </w:rPr>
        <w:t>‎</w:t>
      </w:r>
      <w:r w:rsidRPr="00494D8C">
        <w:t>18.2 (</w:t>
      </w:r>
      <w:r w:rsidRPr="00494D8C">
        <w:rPr>
          <w:i/>
          <w:iCs/>
        </w:rPr>
        <w:t>Circumstances in which Additional Amounts will not be paid</w:t>
      </w:r>
      <w:r w:rsidRPr="00494D8C">
        <w:t>) below) to the "Gross up" obligation applies.</w:t>
      </w:r>
    </w:p>
    <w:p w14:paraId="3A37ED2D" w14:textId="77777777" w:rsidR="002967DD" w:rsidRPr="00494D8C" w:rsidRDefault="002967DD" w:rsidP="0044680A">
      <w:pPr>
        <w:pStyle w:val="NormalOCAshurst"/>
        <w:ind w:left="1276"/>
      </w:pPr>
      <w:r w:rsidRPr="00494D8C">
        <w:t>In addition to the above circumstances, the Issuer will not pay "Additional Amounts" to Holders of Securities:</w:t>
      </w:r>
    </w:p>
    <w:p w14:paraId="0E92A294" w14:textId="77777777" w:rsidR="002967DD" w:rsidRPr="00494D8C" w:rsidRDefault="002967DD" w:rsidP="0044680A">
      <w:pPr>
        <w:pStyle w:val="NormalOCAshurst"/>
        <w:ind w:left="1701" w:hanging="425"/>
      </w:pPr>
      <w:r w:rsidRPr="00494D8C">
        <w:t>•</w:t>
      </w:r>
      <w:r w:rsidRPr="00494D8C">
        <w:tab/>
        <w:t>in respect of any withholding taxes imposed pursuant to FATCA; or</w:t>
      </w:r>
    </w:p>
    <w:p w14:paraId="2A73C954" w14:textId="77777777" w:rsidR="002967DD" w:rsidRPr="00494D8C" w:rsidRDefault="002967DD" w:rsidP="0044680A">
      <w:pPr>
        <w:pStyle w:val="NormalOCAshurst"/>
        <w:ind w:left="1701" w:hanging="425"/>
      </w:pPr>
      <w:r w:rsidRPr="00494D8C">
        <w:lastRenderedPageBreak/>
        <w:t>•</w:t>
      </w:r>
      <w:r w:rsidRPr="00494D8C">
        <w:tab/>
        <w:t>in respect of U.S. withholding taxes on payments treated as "dividend equivalent" payments under Section 871(m) of the U.S. Internal Revenue Code of 1986 (as amended, the "</w:t>
      </w:r>
      <w:r w:rsidRPr="00494D8C">
        <w:rPr>
          <w:b/>
          <w:bCs/>
        </w:rPr>
        <w:t>Code</w:t>
      </w:r>
      <w:r w:rsidRPr="00494D8C">
        <w:t>") (see "</w:t>
      </w:r>
      <w:r w:rsidRPr="00494D8C">
        <w:rPr>
          <w:i/>
          <w:iCs/>
        </w:rPr>
        <w:t xml:space="preserve">Taxation – United States Federal Income Taxation – Taxation of Securities issued by </w:t>
      </w:r>
      <w:proofErr w:type="spellStart"/>
      <w:r w:rsidRPr="00494D8C">
        <w:rPr>
          <w:i/>
          <w:iCs/>
        </w:rPr>
        <w:t>JPMCFC</w:t>
      </w:r>
      <w:proofErr w:type="spellEnd"/>
      <w:r w:rsidRPr="00494D8C">
        <w:rPr>
          <w:i/>
          <w:iCs/>
        </w:rPr>
        <w:t>, JPMorgan Chase &amp; Co. or JPMorgan Chase Bank, N.A. – Taxation of Non-U.S. Holders - U.S. Withholding Taxes - U.S. Federal Income Tax Withholding on Dividend Equivalent Payments</w:t>
      </w:r>
      <w:r w:rsidRPr="00494D8C">
        <w:t>" below) where:</w:t>
      </w:r>
    </w:p>
    <w:p w14:paraId="36FF72E2" w14:textId="77777777" w:rsidR="002967DD" w:rsidRPr="00494D8C" w:rsidRDefault="002967DD" w:rsidP="0044680A">
      <w:pPr>
        <w:pStyle w:val="NormalOCAshurst"/>
        <w:ind w:left="2268" w:hanging="567"/>
      </w:pPr>
      <w:r w:rsidRPr="00494D8C">
        <w:t>o</w:t>
      </w:r>
      <w:r w:rsidRPr="00494D8C">
        <w:tab/>
        <w:t>"Gross up" is specified to be "not applicable" in the relevant Pricing Supplement; or</w:t>
      </w:r>
    </w:p>
    <w:p w14:paraId="00E71A01" w14:textId="77777777" w:rsidR="002967DD" w:rsidRPr="00494D8C" w:rsidRDefault="002967DD" w:rsidP="0044680A">
      <w:pPr>
        <w:pStyle w:val="NormalOCAshurst"/>
        <w:ind w:left="2268" w:hanging="567"/>
      </w:pPr>
      <w:r w:rsidRPr="00494D8C">
        <w:t>o</w:t>
      </w:r>
      <w:r w:rsidRPr="00494D8C">
        <w:tab/>
        <w:t>"Gross up" is specified to be "applicable" in the relevant Pricing Supplement, but "Exclude Section 871(m) Taxes from Gross Up" is also specified to be applicable in the relevant Pricing Supplement; or</w:t>
      </w:r>
    </w:p>
    <w:p w14:paraId="3CDD39EF" w14:textId="77777777" w:rsidR="002967DD" w:rsidRPr="00494D8C" w:rsidRDefault="002967DD" w:rsidP="0044680A">
      <w:pPr>
        <w:pStyle w:val="NormalOCAshurst"/>
        <w:ind w:left="2268" w:hanging="567"/>
      </w:pPr>
      <w:r w:rsidRPr="00494D8C">
        <w:t>o</w:t>
      </w:r>
      <w:r w:rsidRPr="00494D8C">
        <w:tab/>
        <w:t>in the reasonable determination of the Issuer, such withholding tax would not have been imposed but for the Holder or beneficial owner (or a related party thereof) engaging in one or more transactions (other than the mere purchase of the Security) whether or not in connection with the acquisition, holding or disposition of the Security that establishes the withholding obligation; or</w:t>
      </w:r>
    </w:p>
    <w:p w14:paraId="0E0447B1" w14:textId="77777777" w:rsidR="002967DD" w:rsidRPr="00494D8C" w:rsidRDefault="002967DD" w:rsidP="0044680A">
      <w:pPr>
        <w:pStyle w:val="NormalOCAshurst"/>
        <w:ind w:left="1701" w:hanging="425"/>
      </w:pPr>
      <w:r w:rsidRPr="00494D8C">
        <w:t>•</w:t>
      </w:r>
      <w:r w:rsidRPr="00494D8C">
        <w:tab/>
        <w:t>in respect of U.S. withholding taxes other than U.S. withholding taxes imposed under Section 871(m) of the Code where:</w:t>
      </w:r>
    </w:p>
    <w:p w14:paraId="553F0347" w14:textId="64BD8787" w:rsidR="002967DD" w:rsidRPr="00494D8C" w:rsidRDefault="001E0656" w:rsidP="001E0656">
      <w:pPr>
        <w:pStyle w:val="NormalOCAshurst"/>
        <w:ind w:left="2126" w:hanging="425"/>
      </w:pPr>
      <w:r w:rsidRPr="00494D8C">
        <w:t>o</w:t>
      </w:r>
      <w:r w:rsidRPr="00494D8C">
        <w:tab/>
      </w:r>
      <w:r w:rsidR="002967DD" w:rsidRPr="00494D8C">
        <w:t>"Gross up" is specified to be "not applicable" in the relevant Pricing Supplement; or</w:t>
      </w:r>
    </w:p>
    <w:p w14:paraId="6D6D9A8D" w14:textId="1ED2C532" w:rsidR="002967DD" w:rsidRPr="00494D8C" w:rsidRDefault="001E0656" w:rsidP="001E0656">
      <w:pPr>
        <w:pStyle w:val="NormalOCAshurst"/>
        <w:ind w:left="2126" w:hanging="425"/>
      </w:pPr>
      <w:r w:rsidRPr="00494D8C">
        <w:t>o</w:t>
      </w:r>
      <w:r w:rsidRPr="00494D8C">
        <w:tab/>
      </w:r>
      <w:r w:rsidR="002967DD" w:rsidRPr="00494D8C">
        <w:t>"Gross up" is specified to be "applicable" in the relevant Pricing Supplement, but "Exclude U.S. Withholding Taxes other than Section 871(m) Taxes from Gross Up" is also specified to be applicable in the relevant Pricing Supplement; or</w:t>
      </w:r>
    </w:p>
    <w:p w14:paraId="20CEF24F" w14:textId="77777777" w:rsidR="002967DD" w:rsidRPr="00494D8C" w:rsidRDefault="002967DD" w:rsidP="0044680A">
      <w:pPr>
        <w:pStyle w:val="NormalOCAshurst"/>
        <w:ind w:left="1701" w:hanging="425"/>
      </w:pPr>
      <w:r w:rsidRPr="00494D8C">
        <w:t>•</w:t>
      </w:r>
      <w:r w:rsidRPr="00494D8C">
        <w:tab/>
        <w:t xml:space="preserve">in respect of any withholding taxes imposed otherwise than by a Relevant Jurisdiction; or </w:t>
      </w:r>
    </w:p>
    <w:p w14:paraId="3E328782" w14:textId="77777777" w:rsidR="002967DD" w:rsidRPr="00494D8C" w:rsidRDefault="002967DD" w:rsidP="0044680A">
      <w:pPr>
        <w:pStyle w:val="NormalOCAshurst"/>
        <w:ind w:left="1701" w:hanging="425"/>
      </w:pPr>
      <w:r w:rsidRPr="00494D8C">
        <w:t>•</w:t>
      </w:r>
      <w:r w:rsidRPr="00494D8C">
        <w:tab/>
        <w:t xml:space="preserve">if one or more customary exceptions (as detailed in General Condition </w:t>
      </w:r>
      <w:r w:rsidRPr="00494D8C">
        <w:rPr>
          <w:cs/>
        </w:rPr>
        <w:t>‎</w:t>
      </w:r>
      <w:r w:rsidRPr="00494D8C">
        <w:t>18.2 (</w:t>
      </w:r>
      <w:r w:rsidRPr="00494D8C">
        <w:rPr>
          <w:i/>
          <w:iCs/>
        </w:rPr>
        <w:t>Circumstances in which Additional Amounts will not be paid</w:t>
      </w:r>
      <w:r w:rsidRPr="00494D8C">
        <w:t>) below) to the "Gross up" obligation applies.</w:t>
      </w:r>
    </w:p>
    <w:p w14:paraId="4B875278" w14:textId="25008955" w:rsidR="002967DD" w:rsidRPr="00494D8C" w:rsidRDefault="002967DD" w:rsidP="0026699F">
      <w:pPr>
        <w:pStyle w:val="NormalOCAshurst"/>
        <w:ind w:left="1276"/>
        <w:rPr>
          <w:bCs/>
        </w:rPr>
      </w:pPr>
      <w:r w:rsidRPr="00494D8C">
        <w:t>Accordingly, in the above circumstances, the return on your Securities will be reduced by the amount being withheld. In all other circumstances, the Issuer will pay Additional Amounts should withholding taxes become payable on payments of principal or interest by or within a Relevant Jurisdiction.</w:t>
      </w:r>
      <w:r w:rsidR="004C4862" w:rsidRPr="00494D8C">
        <w:t>"</w:t>
      </w:r>
    </w:p>
    <w:p w14:paraId="3302AC8E" w14:textId="319C29A7" w:rsidR="006D2FD3" w:rsidRPr="00494D8C" w:rsidRDefault="006D2FD3" w:rsidP="006D2FD3">
      <w:pPr>
        <w:pStyle w:val="NormalOCAshurst"/>
        <w:ind w:left="567" w:hanging="567"/>
        <w:rPr>
          <w:b/>
        </w:rPr>
      </w:pPr>
      <w:r w:rsidRPr="00494D8C">
        <w:rPr>
          <w:b/>
        </w:rPr>
        <w:t>(b)</w:t>
      </w:r>
      <w:r w:rsidRPr="00494D8C">
        <w:rPr>
          <w:b/>
        </w:rPr>
        <w:tab/>
        <w:t>Amendments to the section entitled General Conditions</w:t>
      </w:r>
    </w:p>
    <w:p w14:paraId="12119D1C" w14:textId="4244960A" w:rsidR="001D03C3" w:rsidRPr="00494D8C" w:rsidRDefault="001D03C3" w:rsidP="001D03C3">
      <w:pPr>
        <w:pStyle w:val="NormalOCAshurst"/>
        <w:ind w:left="567" w:hanging="567"/>
        <w:rPr>
          <w:bCs/>
        </w:rPr>
      </w:pPr>
      <w:r w:rsidRPr="00494D8C">
        <w:rPr>
          <w:bCs/>
        </w:rPr>
        <w:t>(i)</w:t>
      </w:r>
      <w:r w:rsidRPr="00494D8C">
        <w:rPr>
          <w:bCs/>
        </w:rPr>
        <w:tab/>
        <w:t>General Condition 18.1 (</w:t>
      </w:r>
      <w:r w:rsidRPr="00494D8C">
        <w:rPr>
          <w:bCs/>
          <w:i/>
          <w:iCs/>
        </w:rPr>
        <w:t>Obligation to pay Additional Amounts</w:t>
      </w:r>
      <w:r w:rsidRPr="00494D8C">
        <w:rPr>
          <w:bCs/>
        </w:rPr>
        <w:t xml:space="preserve">) </w:t>
      </w:r>
      <w:r w:rsidR="00625C91" w:rsidRPr="00494D8C">
        <w:rPr>
          <w:bCs/>
        </w:rPr>
        <w:t>on</w:t>
      </w:r>
      <w:r w:rsidRPr="00494D8C">
        <w:rPr>
          <w:bCs/>
        </w:rPr>
        <w:t xml:space="preserve"> page 312 of the Original Offering Circular </w:t>
      </w:r>
      <w:r w:rsidR="005C70BC" w:rsidRPr="00494D8C">
        <w:rPr>
          <w:bCs/>
        </w:rPr>
        <w:t>shall be deleted and replaced with the following</w:t>
      </w:r>
      <w:r w:rsidRPr="00494D8C">
        <w:rPr>
          <w:bCs/>
        </w:rPr>
        <w:t>:</w:t>
      </w:r>
    </w:p>
    <w:p w14:paraId="28ACA53A" w14:textId="21C4CA5F" w:rsidR="00305E01" w:rsidRPr="00494D8C" w:rsidRDefault="001D03C3" w:rsidP="00305E01">
      <w:pPr>
        <w:pStyle w:val="NormalOCAshurst"/>
        <w:ind w:left="567"/>
        <w:rPr>
          <w:bCs/>
        </w:rPr>
      </w:pPr>
      <w:r w:rsidRPr="00494D8C">
        <w:rPr>
          <w:bCs/>
        </w:rPr>
        <w:t>"</w:t>
      </w:r>
      <w:r w:rsidR="00305E01" w:rsidRPr="00494D8C">
        <w:rPr>
          <w:b/>
        </w:rPr>
        <w:t>18.1</w:t>
      </w:r>
      <w:r w:rsidR="00305E01" w:rsidRPr="00494D8C">
        <w:rPr>
          <w:b/>
        </w:rPr>
        <w:tab/>
        <w:t>Obligation to pay Additional Amounts</w:t>
      </w:r>
    </w:p>
    <w:p w14:paraId="4CDC7B02" w14:textId="77777777" w:rsidR="00A83799" w:rsidRPr="00494D8C" w:rsidRDefault="00A83799" w:rsidP="00A83799">
      <w:pPr>
        <w:pStyle w:val="NormalOCAshurst"/>
        <w:ind w:left="1134"/>
        <w:rPr>
          <w:bCs/>
        </w:rPr>
      </w:pPr>
      <w:r w:rsidRPr="00494D8C">
        <w:rPr>
          <w:bCs/>
        </w:rPr>
        <w:t>Subject to the deduction of any Delivery Expenses or Expenses in accordance with these General Conditions, payments of principal and interest on the Securities will be made without deduction or withholding for or on account of any present or future tax, assessment or other governmental charge, of whatever nature, imposed or levied on such payment, except as required by law or under an agreement with the relevant taxing authority or in connection with an intergovernmental agreement. In that case, unless the relevant Pricing Supplement specifies:</w:t>
      </w:r>
    </w:p>
    <w:p w14:paraId="4167EC7F" w14:textId="77777777" w:rsidR="00A83799" w:rsidRPr="00494D8C" w:rsidRDefault="00A83799" w:rsidP="00A83799">
      <w:pPr>
        <w:pStyle w:val="NormalOCAshurst"/>
        <w:ind w:left="1701" w:hanging="567"/>
        <w:rPr>
          <w:bCs/>
        </w:rPr>
      </w:pPr>
      <w:r w:rsidRPr="00494D8C">
        <w:rPr>
          <w:bCs/>
        </w:rPr>
        <w:t>(a)</w:t>
      </w:r>
      <w:r w:rsidRPr="00494D8C">
        <w:rPr>
          <w:bCs/>
        </w:rPr>
        <w:tab/>
        <w:t>"Gross Up" to be not applicable; or</w:t>
      </w:r>
    </w:p>
    <w:p w14:paraId="4AE89CC7" w14:textId="613FA2ED" w:rsidR="00A83799" w:rsidRPr="00494D8C" w:rsidRDefault="00A83799" w:rsidP="00A83799">
      <w:pPr>
        <w:pStyle w:val="NormalOCAshurst"/>
        <w:ind w:left="1701" w:hanging="567"/>
        <w:rPr>
          <w:bCs/>
        </w:rPr>
      </w:pPr>
      <w:r w:rsidRPr="00494D8C">
        <w:rPr>
          <w:bCs/>
        </w:rPr>
        <w:t>(b)</w:t>
      </w:r>
      <w:r w:rsidRPr="00494D8C">
        <w:rPr>
          <w:bCs/>
        </w:rPr>
        <w:tab/>
        <w:t xml:space="preserve">"Gross Up" to be applicable and (i) with respect to taxes imposed pursuant to Section 871(m) of the Code, the relevant Pricing Supplement specifies "Exclude Section 871(m) Taxes from Gross Up" to be applicable, or (ii) with respect to U.S. withholding taxes other than taxes imposed pursuant to Section 871(m) of the Code, the relevant </w:t>
      </w:r>
      <w:r w:rsidR="00FC1067" w:rsidRPr="00494D8C">
        <w:rPr>
          <w:bCs/>
        </w:rPr>
        <w:t>Pricing Supplement</w:t>
      </w:r>
      <w:r w:rsidRPr="00494D8C">
        <w:rPr>
          <w:bCs/>
        </w:rPr>
        <w:t xml:space="preserve"> specif</w:t>
      </w:r>
      <w:r w:rsidR="00FC1067" w:rsidRPr="00494D8C">
        <w:rPr>
          <w:bCs/>
        </w:rPr>
        <w:t>ies</w:t>
      </w:r>
      <w:r w:rsidRPr="00494D8C">
        <w:rPr>
          <w:bCs/>
        </w:rPr>
        <w:t xml:space="preserve"> "Exclude U.S. Withholding Taxes other than Section 871(m) Taxes from Gross Up" to be applicable, </w:t>
      </w:r>
    </w:p>
    <w:p w14:paraId="08A28D3F" w14:textId="622CA9EC" w:rsidR="006D2FD3" w:rsidRPr="00494D8C" w:rsidRDefault="00A83799" w:rsidP="00A83799">
      <w:pPr>
        <w:pStyle w:val="NormalOCAshurst"/>
        <w:ind w:left="1134"/>
        <w:rPr>
          <w:bCs/>
        </w:rPr>
      </w:pPr>
      <w:r w:rsidRPr="00494D8C">
        <w:rPr>
          <w:bCs/>
        </w:rPr>
        <w:lastRenderedPageBreak/>
        <w:t xml:space="preserve">the Issuer or, as the case may be, the Guarantor will, subject to the limitations and exceptions set forth below in General Condition </w:t>
      </w:r>
      <w:r w:rsidRPr="00494D8C">
        <w:rPr>
          <w:bCs/>
          <w:cs/>
        </w:rPr>
        <w:t>‎</w:t>
      </w:r>
      <w:r w:rsidRPr="00494D8C">
        <w:rPr>
          <w:bCs/>
        </w:rPr>
        <w:t>18.2 (</w:t>
      </w:r>
      <w:r w:rsidRPr="00494D8C">
        <w:rPr>
          <w:bCs/>
          <w:i/>
          <w:iCs/>
        </w:rPr>
        <w:t>Circumstances in which Additional Amounts will not be paid</w:t>
      </w:r>
      <w:r w:rsidRPr="00494D8C">
        <w:rPr>
          <w:bCs/>
        </w:rPr>
        <w:t>), pay to a Holder of Securities such additional amounts ("</w:t>
      </w:r>
      <w:r w:rsidRPr="00494D8C">
        <w:rPr>
          <w:b/>
        </w:rPr>
        <w:t>Additional Amounts</w:t>
      </w:r>
      <w:r w:rsidRPr="00494D8C">
        <w:rPr>
          <w:bCs/>
        </w:rPr>
        <w:t>") as may be necessary so that every net payment by the Issuer or the Guarantor or any of their Paying Agents of principal or interest with respect to the Securities after deduction or withholding for or on account of any such present or future tax, assessment or other governmental charge on such payment imposed by or within a Relevant Jurisdiction upon such Holder (other than with respect to a Holder that is a resident of such Relevant Jurisdiction), will not be less than the amount provided for in such Securities to be then due and payable.</w:t>
      </w:r>
      <w:r w:rsidR="001D03C3" w:rsidRPr="00494D8C">
        <w:rPr>
          <w:bCs/>
        </w:rPr>
        <w:t>"</w:t>
      </w:r>
    </w:p>
    <w:p w14:paraId="5F114C34" w14:textId="07CB33AB" w:rsidR="006D2FD3" w:rsidRPr="00494D8C" w:rsidRDefault="006D2FD3" w:rsidP="006D2FD3">
      <w:pPr>
        <w:pStyle w:val="NormalOCAshurst"/>
        <w:ind w:left="567" w:hanging="567"/>
        <w:rPr>
          <w:b/>
        </w:rPr>
      </w:pPr>
      <w:r w:rsidRPr="00494D8C">
        <w:rPr>
          <w:b/>
        </w:rPr>
        <w:t>(c)</w:t>
      </w:r>
      <w:r w:rsidRPr="00494D8C">
        <w:rPr>
          <w:b/>
        </w:rPr>
        <w:tab/>
        <w:t>Amendments to the section entitled Form of Pricing Supplement</w:t>
      </w:r>
    </w:p>
    <w:p w14:paraId="42537A4C" w14:textId="2C33B869" w:rsidR="00023CE9" w:rsidRPr="00494D8C" w:rsidRDefault="00023CE9" w:rsidP="00023CE9">
      <w:pPr>
        <w:pStyle w:val="NormalOCAshurst"/>
        <w:ind w:left="567" w:hanging="567"/>
        <w:rPr>
          <w:bCs/>
        </w:rPr>
      </w:pPr>
      <w:r w:rsidRPr="00494D8C">
        <w:rPr>
          <w:bCs/>
        </w:rPr>
        <w:t>(i)</w:t>
      </w:r>
      <w:r w:rsidRPr="00494D8C">
        <w:rPr>
          <w:bCs/>
        </w:rPr>
        <w:tab/>
        <w:t>The cover pages of the Form of Pricing Supplement are amended by inserting the following new paragraph immediately after the paragraph beginning with "</w:t>
      </w:r>
      <w:r w:rsidRPr="00494D8C">
        <w:rPr>
          <w:bCs/>
          <w:i/>
          <w:iCs/>
        </w:rPr>
        <w:t>[Include for Sustainable Securities that are linked to Reference Asset(s):</w:t>
      </w:r>
      <w:r w:rsidRPr="00494D8C">
        <w:rPr>
          <w:bCs/>
        </w:rPr>
        <w:t xml:space="preserve">" </w:t>
      </w:r>
      <w:r w:rsidR="00537645" w:rsidRPr="00494D8C">
        <w:rPr>
          <w:bCs/>
        </w:rPr>
        <w:t>and immediately before</w:t>
      </w:r>
      <w:r w:rsidRPr="00494D8C">
        <w:rPr>
          <w:bCs/>
        </w:rPr>
        <w:t xml:space="preserve"> the text "Pricing Supplement dated [●]" </w:t>
      </w:r>
      <w:r w:rsidR="00FC1067" w:rsidRPr="00494D8C">
        <w:rPr>
          <w:bCs/>
        </w:rPr>
        <w:t>on</w:t>
      </w:r>
      <w:r w:rsidRPr="00494D8C">
        <w:rPr>
          <w:bCs/>
        </w:rPr>
        <w:t xml:space="preserve"> page </w:t>
      </w:r>
      <w:r w:rsidR="00537645" w:rsidRPr="00494D8C">
        <w:rPr>
          <w:bCs/>
        </w:rPr>
        <w:t>523</w:t>
      </w:r>
      <w:r w:rsidRPr="00494D8C">
        <w:rPr>
          <w:bCs/>
        </w:rPr>
        <w:t xml:space="preserve"> of the </w:t>
      </w:r>
      <w:r w:rsidR="00537645" w:rsidRPr="00494D8C">
        <w:rPr>
          <w:bCs/>
        </w:rPr>
        <w:t>Original Offering Circular</w:t>
      </w:r>
      <w:r w:rsidRPr="00494D8C">
        <w:rPr>
          <w:bCs/>
        </w:rPr>
        <w:t>:</w:t>
      </w:r>
    </w:p>
    <w:p w14:paraId="17879B37" w14:textId="77777777" w:rsidR="00023CE9" w:rsidRPr="00494D8C" w:rsidRDefault="00023CE9" w:rsidP="00537645">
      <w:pPr>
        <w:pStyle w:val="NormalOCAshurst"/>
        <w:ind w:left="1134" w:hanging="567"/>
        <w:rPr>
          <w:bCs/>
        </w:rPr>
      </w:pPr>
      <w:r w:rsidRPr="00494D8C">
        <w:rPr>
          <w:bCs/>
        </w:rPr>
        <w:t>"[</w:t>
      </w:r>
      <w:r w:rsidRPr="00494D8C">
        <w:rPr>
          <w:b/>
        </w:rPr>
        <w:t>U.S. Withholding Tax</w:t>
      </w:r>
    </w:p>
    <w:p w14:paraId="32095120" w14:textId="1B07128D" w:rsidR="00023CE9" w:rsidRPr="00494D8C" w:rsidRDefault="00023CE9" w:rsidP="00537645">
      <w:pPr>
        <w:pStyle w:val="NormalOCAshurst"/>
        <w:ind w:left="567"/>
        <w:rPr>
          <w:bCs/>
        </w:rPr>
      </w:pPr>
      <w:r w:rsidRPr="00494D8C">
        <w:rPr>
          <w:bCs/>
        </w:rPr>
        <w:t>The U.S. federal income tax treatment of contingent coupons is uncertain. Due to this uncertainty, it is expected that withholding agents will (and we, if we are the withholding agent, intend to) withhold on any contingent coupon paid to a Non-U.S. Holder generally at a rate of 30% or at a reduced rate specified by an applicable income tax treaty under an “other income” or similar provision. We will not be required to pay any additional amounts with respect to amounts withheld. Potential investors should be aware that the Securities may be held only by investors eligible for the benefits of a tax treaty with the United States pursuant to which contingent coupons payable under the Securities are exempt from U.S. withholding tax under an "other income" article or similar provision. A Non-U.S. Holder of the Securities must comply with certification requirements to establish that it is not a U.S. person and is eligible for such an exemption under an applicable tax treaty, including providing a properly completed and executed IRS Form W-</w:t>
      </w:r>
      <w:proofErr w:type="spellStart"/>
      <w:r w:rsidRPr="00494D8C">
        <w:rPr>
          <w:bCs/>
        </w:rPr>
        <w:t>8BEN</w:t>
      </w:r>
      <w:proofErr w:type="spellEnd"/>
      <w:r w:rsidRPr="00494D8C">
        <w:rPr>
          <w:bCs/>
        </w:rPr>
        <w:t xml:space="preserve"> or IRS Form W-</w:t>
      </w:r>
      <w:proofErr w:type="spellStart"/>
      <w:r w:rsidRPr="00494D8C">
        <w:rPr>
          <w:bCs/>
        </w:rPr>
        <w:t>8BEN</w:t>
      </w:r>
      <w:proofErr w:type="spellEnd"/>
      <w:r w:rsidRPr="00494D8C">
        <w:rPr>
          <w:bCs/>
        </w:rPr>
        <w:t>-E to the applicable U.S. withholding agent. If you are a Non-U.S. Holder, you should consult your tax adviser regarding the tax treatment of the Securities, including the possibility of obtaining a refund of any withholding tax and the certification requirements described above.] [</w:t>
      </w:r>
      <w:r w:rsidRPr="00494D8C">
        <w:rPr>
          <w:bCs/>
          <w:i/>
          <w:iCs/>
        </w:rPr>
        <w:t xml:space="preserve">Include only for contingent coupon structures issued by </w:t>
      </w:r>
      <w:proofErr w:type="spellStart"/>
      <w:r w:rsidRPr="00494D8C">
        <w:rPr>
          <w:bCs/>
          <w:i/>
          <w:iCs/>
        </w:rPr>
        <w:t>JPMCFC</w:t>
      </w:r>
      <w:proofErr w:type="spellEnd"/>
      <w:r w:rsidRPr="00494D8C">
        <w:rPr>
          <w:bCs/>
          <w:i/>
          <w:iCs/>
        </w:rPr>
        <w:t xml:space="preserve">, </w:t>
      </w:r>
      <w:proofErr w:type="spellStart"/>
      <w:r w:rsidRPr="00494D8C">
        <w:rPr>
          <w:bCs/>
          <w:i/>
          <w:iCs/>
        </w:rPr>
        <w:t>JPMCC</w:t>
      </w:r>
      <w:proofErr w:type="spellEnd"/>
      <w:r w:rsidRPr="00494D8C">
        <w:rPr>
          <w:bCs/>
          <w:i/>
          <w:iCs/>
        </w:rPr>
        <w:t xml:space="preserve"> or </w:t>
      </w:r>
      <w:proofErr w:type="spellStart"/>
      <w:r w:rsidRPr="00494D8C">
        <w:rPr>
          <w:bCs/>
          <w:i/>
          <w:iCs/>
        </w:rPr>
        <w:t>JPMCB</w:t>
      </w:r>
      <w:proofErr w:type="spellEnd"/>
      <w:r w:rsidRPr="00494D8C">
        <w:rPr>
          <w:bCs/>
        </w:rPr>
        <w:t>]</w:t>
      </w:r>
      <w:r w:rsidR="00F155B5" w:rsidRPr="00494D8C">
        <w:rPr>
          <w:bCs/>
        </w:rPr>
        <w:t>"</w:t>
      </w:r>
    </w:p>
    <w:p w14:paraId="0D4085C4" w14:textId="4F7CE7A4" w:rsidR="00F25F8F" w:rsidRPr="00494D8C" w:rsidRDefault="00F25F8F" w:rsidP="00F25F8F">
      <w:pPr>
        <w:pStyle w:val="NormalOCAshurst"/>
        <w:ind w:left="567" w:hanging="567"/>
        <w:rPr>
          <w:bCs/>
        </w:rPr>
      </w:pPr>
      <w:r w:rsidRPr="00494D8C">
        <w:rPr>
          <w:bCs/>
        </w:rPr>
        <w:t>(ii)</w:t>
      </w:r>
      <w:r w:rsidRPr="00494D8C">
        <w:rPr>
          <w:bCs/>
        </w:rPr>
        <w:tab/>
        <w:t>Paragraph 18 (</w:t>
      </w:r>
      <w:r w:rsidRPr="00494D8C">
        <w:rPr>
          <w:bCs/>
          <w:i/>
          <w:iCs/>
        </w:rPr>
        <w:t>Early Payment Amount</w:t>
      </w:r>
      <w:r w:rsidRPr="00494D8C">
        <w:rPr>
          <w:bCs/>
        </w:rPr>
        <w:t>) in Part A (</w:t>
      </w:r>
      <w:r w:rsidRPr="00494D8C">
        <w:rPr>
          <w:bCs/>
          <w:i/>
          <w:iCs/>
        </w:rPr>
        <w:t>Contractual Terms</w:t>
      </w:r>
      <w:r w:rsidRPr="00494D8C">
        <w:rPr>
          <w:bCs/>
        </w:rPr>
        <w:t>) of the Form of Pricing Supplement on pages 537 to 538 of the Original Offering Circular is deleted and replaced with the following:</w:t>
      </w:r>
    </w:p>
    <w:tbl>
      <w:tblPr>
        <w:tblStyle w:val="TableGrid"/>
        <w:tblW w:w="8363"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7"/>
        <w:gridCol w:w="3852"/>
        <w:gridCol w:w="3694"/>
      </w:tblGrid>
      <w:tr w:rsidR="00F25F8F" w:rsidRPr="00494D8C" w14:paraId="21838505" w14:textId="77777777" w:rsidTr="007D6218">
        <w:tc>
          <w:tcPr>
            <w:tcW w:w="817" w:type="dxa"/>
          </w:tcPr>
          <w:p w14:paraId="599DEEE2" w14:textId="27F398E7" w:rsidR="00F25F8F" w:rsidRPr="00494D8C" w:rsidRDefault="007D6218" w:rsidP="007D6218">
            <w:pPr>
              <w:pStyle w:val="TableNum1OCAshurst"/>
              <w:numPr>
                <w:ilvl w:val="0"/>
                <w:numId w:val="0"/>
              </w:numPr>
              <w:ind w:left="-139" w:firstLine="139"/>
              <w:rPr>
                <w:rFonts w:ascii="Times New Roman" w:hAnsi="Times New Roman"/>
              </w:rPr>
            </w:pPr>
            <w:r w:rsidRPr="00494D8C">
              <w:rPr>
                <w:rFonts w:ascii="Times New Roman" w:hAnsi="Times New Roman"/>
              </w:rPr>
              <w:t>"</w:t>
            </w:r>
            <w:r w:rsidR="00F25F8F" w:rsidRPr="00494D8C">
              <w:rPr>
                <w:rFonts w:ascii="Times New Roman" w:hAnsi="Times New Roman"/>
              </w:rPr>
              <w:t>18.</w:t>
            </w:r>
          </w:p>
        </w:tc>
        <w:tc>
          <w:tcPr>
            <w:tcW w:w="3852" w:type="dxa"/>
          </w:tcPr>
          <w:p w14:paraId="1AE24B77" w14:textId="77777777" w:rsidR="00F25F8F" w:rsidRPr="00494D8C" w:rsidRDefault="00F25F8F" w:rsidP="00E11E13">
            <w:pPr>
              <w:pStyle w:val="NormalOCAshurst"/>
              <w:rPr>
                <w:b/>
              </w:rPr>
            </w:pPr>
            <w:r w:rsidRPr="00494D8C">
              <w:rPr>
                <w:b/>
              </w:rPr>
              <w:t>Early Payment Amount:</w:t>
            </w:r>
          </w:p>
        </w:tc>
        <w:tc>
          <w:tcPr>
            <w:tcW w:w="3694" w:type="dxa"/>
          </w:tcPr>
          <w:p w14:paraId="7675D544" w14:textId="623D7F45" w:rsidR="00F25F8F" w:rsidRPr="00494D8C" w:rsidRDefault="00F25F8F" w:rsidP="00E11E13">
            <w:pPr>
              <w:pStyle w:val="NormalOCAshurst"/>
            </w:pPr>
            <w:r w:rsidRPr="00494D8C">
              <w:t>[[Early Payment Amount 1/Early Payment Amount 2] is applicable (</w:t>
            </w:r>
            <w:r w:rsidRPr="00494D8C">
              <w:rPr>
                <w:i/>
              </w:rPr>
              <w:t>insert for Notes other than Zero Coupon Notes, New York Law Notes (</w:t>
            </w:r>
            <w:proofErr w:type="spellStart"/>
            <w:r w:rsidRPr="00494D8C">
              <w:rPr>
                <w:i/>
              </w:rPr>
              <w:t>TLAC</w:t>
            </w:r>
            <w:proofErr w:type="spellEnd"/>
            <w:r w:rsidRPr="00494D8C">
              <w:rPr>
                <w:i/>
              </w:rPr>
              <w:t xml:space="preserve"> Securities) and Market Access Participation Notes</w:t>
            </w:r>
            <w:r w:rsidRPr="00494D8C">
              <w:t>)]/[Amortised Face Amount as set out in General Conditio</w:t>
            </w:r>
            <w:r w:rsidR="00075373" w:rsidRPr="00494D8C">
              <w:t>n 5</w:t>
            </w:r>
            <w:r w:rsidRPr="00494D8C">
              <w:t>.5 (</w:t>
            </w:r>
            <w:r w:rsidRPr="00494D8C">
              <w:rPr>
                <w:i/>
              </w:rPr>
              <w:t>insert for Zero Coupon Notes and New York Law Notes that are Zero Coupon Notes</w:t>
            </w:r>
            <w:r w:rsidRPr="00494D8C">
              <w:t>)]/[Not Applicable − See the Market Access Participation Provisions (</w:t>
            </w:r>
            <w:r w:rsidRPr="00494D8C">
              <w:rPr>
                <w:i/>
              </w:rPr>
              <w:t>insert for Market Access Participation Notes</w:t>
            </w:r>
            <w:r w:rsidRPr="00494D8C">
              <w:t>)]/[Early Payment Amount 3 is applicable (</w:t>
            </w:r>
            <w:r w:rsidRPr="00494D8C">
              <w:rPr>
                <w:i/>
              </w:rPr>
              <w:t>insert for New York Law Notes (</w:t>
            </w:r>
            <w:proofErr w:type="spellStart"/>
            <w:r w:rsidRPr="00494D8C">
              <w:rPr>
                <w:i/>
              </w:rPr>
              <w:t>TLAC</w:t>
            </w:r>
            <w:proofErr w:type="spellEnd"/>
            <w:r w:rsidRPr="00494D8C">
              <w:rPr>
                <w:i/>
              </w:rPr>
              <w:t xml:space="preserve"> Securities) that are not Zero Coupon Notes</w:t>
            </w:r>
            <w:r w:rsidRPr="00494D8C">
              <w:t>)]/[Early Payment Amount 1/Early Payment Amount 2], provided that, in respect of General Condition 15.2(b), the Early Payment Amount shall be Early Payment Amount 3 calculated in respect of the Acceleration Date (</w:t>
            </w:r>
            <w:r w:rsidRPr="00494D8C">
              <w:rPr>
                <w:i/>
                <w:iCs/>
              </w:rPr>
              <w:t>insert where applicable</w:t>
            </w:r>
            <w:r w:rsidRPr="00494D8C">
              <w:t>)]</w:t>
            </w:r>
            <w:r w:rsidR="007D6218" w:rsidRPr="00494D8C">
              <w:t>"</w:t>
            </w:r>
          </w:p>
        </w:tc>
      </w:tr>
    </w:tbl>
    <w:p w14:paraId="7F585CEF" w14:textId="200DAA99" w:rsidR="00F25F8F" w:rsidRPr="00494D8C" w:rsidRDefault="00F25F8F" w:rsidP="00846D04">
      <w:pPr>
        <w:pStyle w:val="NormalOCAshurst"/>
        <w:spacing w:after="0"/>
        <w:ind w:left="1134" w:hanging="567"/>
        <w:rPr>
          <w:bCs/>
        </w:rPr>
      </w:pPr>
    </w:p>
    <w:p w14:paraId="475661DC" w14:textId="34892E48" w:rsidR="00846D04" w:rsidRPr="00494D8C" w:rsidRDefault="00846D04" w:rsidP="00846D04">
      <w:pPr>
        <w:pStyle w:val="NormalOCAshurst"/>
        <w:ind w:left="567" w:hanging="567"/>
        <w:rPr>
          <w:bCs/>
        </w:rPr>
      </w:pPr>
      <w:r w:rsidRPr="00494D8C">
        <w:rPr>
          <w:bCs/>
        </w:rPr>
        <w:lastRenderedPageBreak/>
        <w:t>(iii)</w:t>
      </w:r>
      <w:r w:rsidRPr="00494D8C">
        <w:rPr>
          <w:bCs/>
        </w:rPr>
        <w:tab/>
        <w:t>Paragraph 34 (</w:t>
      </w:r>
      <w:r w:rsidRPr="00494D8C">
        <w:rPr>
          <w:bCs/>
          <w:i/>
          <w:iCs/>
        </w:rPr>
        <w:t>Early Payment Amount</w:t>
      </w:r>
      <w:r w:rsidRPr="00494D8C">
        <w:rPr>
          <w:bCs/>
        </w:rPr>
        <w:t>) in Part A (</w:t>
      </w:r>
      <w:r w:rsidRPr="00494D8C">
        <w:rPr>
          <w:bCs/>
          <w:i/>
          <w:iCs/>
        </w:rPr>
        <w:t>Contractual Terms</w:t>
      </w:r>
      <w:r w:rsidRPr="00494D8C">
        <w:rPr>
          <w:bCs/>
        </w:rPr>
        <w:t>) of the Form of Pricing Supplement on page 539 of the Original Offering Circular is deleted and replaced with the following:</w:t>
      </w:r>
    </w:p>
    <w:tbl>
      <w:tblPr>
        <w:tblStyle w:val="TableGrid"/>
        <w:tblW w:w="8363"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7"/>
        <w:gridCol w:w="3852"/>
        <w:gridCol w:w="3694"/>
      </w:tblGrid>
      <w:tr w:rsidR="00766F39" w:rsidRPr="00494D8C" w14:paraId="542E51DB" w14:textId="77777777" w:rsidTr="007D6218">
        <w:tc>
          <w:tcPr>
            <w:tcW w:w="817" w:type="dxa"/>
          </w:tcPr>
          <w:p w14:paraId="3429E294" w14:textId="2AB705AA" w:rsidR="00766F39" w:rsidRPr="00494D8C" w:rsidRDefault="0022250A" w:rsidP="00766F39">
            <w:pPr>
              <w:pStyle w:val="TableNum1OCAshurst"/>
              <w:numPr>
                <w:ilvl w:val="0"/>
                <w:numId w:val="0"/>
              </w:numPr>
              <w:rPr>
                <w:rFonts w:ascii="Times New Roman" w:hAnsi="Times New Roman"/>
              </w:rPr>
            </w:pPr>
            <w:r w:rsidRPr="00494D8C">
              <w:rPr>
                <w:rFonts w:ascii="Times New Roman" w:hAnsi="Times New Roman"/>
              </w:rPr>
              <w:t>"</w:t>
            </w:r>
            <w:r w:rsidR="00766F39" w:rsidRPr="00494D8C">
              <w:rPr>
                <w:rFonts w:ascii="Times New Roman" w:hAnsi="Times New Roman"/>
              </w:rPr>
              <w:t>34.</w:t>
            </w:r>
          </w:p>
        </w:tc>
        <w:tc>
          <w:tcPr>
            <w:tcW w:w="3852" w:type="dxa"/>
          </w:tcPr>
          <w:p w14:paraId="45E6080E" w14:textId="77777777" w:rsidR="00766F39" w:rsidRPr="00494D8C" w:rsidRDefault="00766F39" w:rsidP="00E11E13">
            <w:pPr>
              <w:pStyle w:val="NormalOCAshurst"/>
              <w:rPr>
                <w:b/>
              </w:rPr>
            </w:pPr>
            <w:r w:rsidRPr="00494D8C">
              <w:rPr>
                <w:b/>
              </w:rPr>
              <w:t>Early Payment Amount:</w:t>
            </w:r>
          </w:p>
        </w:tc>
        <w:tc>
          <w:tcPr>
            <w:tcW w:w="3694" w:type="dxa"/>
          </w:tcPr>
          <w:p w14:paraId="24CFD515" w14:textId="4A61049A" w:rsidR="00766F39" w:rsidRPr="00494D8C" w:rsidRDefault="00766F39" w:rsidP="00E11E13">
            <w:pPr>
              <w:pStyle w:val="NormalOCAshurst"/>
            </w:pPr>
            <w:r w:rsidRPr="00494D8C">
              <w:t>[[Early Payment Amount 1/Early Payment Amount 2/Early Payment Amount 3] is applicable]</w:t>
            </w:r>
            <w:r w:rsidR="00F74B24" w:rsidRPr="00494D8C">
              <w:t>/[Early Payment Amount 1/Early Payment Amount 2], provided that, in respect of General Condition 15.2(b), the Early Payment Amount shall be Early Payment Amount 3 calculated in respect of the Acceleration Date]</w:t>
            </w:r>
            <w:r w:rsidR="0022250A" w:rsidRPr="00494D8C">
              <w:t>"</w:t>
            </w:r>
          </w:p>
        </w:tc>
      </w:tr>
    </w:tbl>
    <w:p w14:paraId="7938A9AB" w14:textId="77777777" w:rsidR="00846D04" w:rsidRPr="00494D8C" w:rsidRDefault="00846D04" w:rsidP="00846D04">
      <w:pPr>
        <w:pStyle w:val="NormalOCAshurst"/>
        <w:spacing w:after="0"/>
        <w:ind w:left="567" w:hanging="567"/>
        <w:rPr>
          <w:bCs/>
        </w:rPr>
      </w:pPr>
    </w:p>
    <w:p w14:paraId="0DC15341" w14:textId="04FD744C" w:rsidR="00846D04" w:rsidRPr="00494D8C" w:rsidRDefault="00846D04" w:rsidP="00846D04">
      <w:pPr>
        <w:pStyle w:val="NormalOCAshurst"/>
        <w:ind w:left="567" w:hanging="567"/>
        <w:rPr>
          <w:bCs/>
        </w:rPr>
      </w:pPr>
      <w:r w:rsidRPr="00494D8C">
        <w:rPr>
          <w:bCs/>
        </w:rPr>
        <w:t>(iv)</w:t>
      </w:r>
      <w:r w:rsidRPr="00494D8C">
        <w:rPr>
          <w:bCs/>
        </w:rPr>
        <w:tab/>
        <w:t>Paragraph 3</w:t>
      </w:r>
      <w:r w:rsidR="0022250A" w:rsidRPr="00494D8C">
        <w:rPr>
          <w:bCs/>
        </w:rPr>
        <w:t>9</w:t>
      </w:r>
      <w:r w:rsidRPr="00494D8C">
        <w:rPr>
          <w:bCs/>
        </w:rPr>
        <w:t xml:space="preserve"> (</w:t>
      </w:r>
      <w:r w:rsidRPr="00494D8C">
        <w:rPr>
          <w:bCs/>
          <w:i/>
          <w:iCs/>
        </w:rPr>
        <w:t>Early Payment Amount</w:t>
      </w:r>
      <w:r w:rsidRPr="00494D8C">
        <w:rPr>
          <w:bCs/>
        </w:rPr>
        <w:t>) in Part A (</w:t>
      </w:r>
      <w:r w:rsidRPr="00494D8C">
        <w:rPr>
          <w:bCs/>
          <w:i/>
          <w:iCs/>
        </w:rPr>
        <w:t>Contractual Terms</w:t>
      </w:r>
      <w:r w:rsidRPr="00494D8C">
        <w:rPr>
          <w:bCs/>
        </w:rPr>
        <w:t>) of the Form of Pricing Supplement on page 5</w:t>
      </w:r>
      <w:r w:rsidR="0022250A" w:rsidRPr="00494D8C">
        <w:rPr>
          <w:bCs/>
        </w:rPr>
        <w:t>41</w:t>
      </w:r>
      <w:r w:rsidRPr="00494D8C">
        <w:rPr>
          <w:bCs/>
        </w:rPr>
        <w:t xml:space="preserve"> of the Original Offering Circular is deleted and replaced with the following:</w:t>
      </w:r>
    </w:p>
    <w:tbl>
      <w:tblPr>
        <w:tblStyle w:val="TableGrid"/>
        <w:tblW w:w="8363"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7"/>
        <w:gridCol w:w="3852"/>
        <w:gridCol w:w="3694"/>
      </w:tblGrid>
      <w:tr w:rsidR="00766F39" w:rsidRPr="00494D8C" w14:paraId="3BB4A0F2" w14:textId="77777777" w:rsidTr="00A6003C">
        <w:tc>
          <w:tcPr>
            <w:tcW w:w="817" w:type="dxa"/>
          </w:tcPr>
          <w:p w14:paraId="242A4897" w14:textId="06FA6A7B" w:rsidR="00766F39" w:rsidRPr="00494D8C" w:rsidRDefault="0022250A" w:rsidP="00766F39">
            <w:pPr>
              <w:pStyle w:val="TableNum1OCAshurst"/>
              <w:numPr>
                <w:ilvl w:val="0"/>
                <w:numId w:val="0"/>
              </w:numPr>
              <w:rPr>
                <w:rFonts w:ascii="Times New Roman" w:hAnsi="Times New Roman"/>
              </w:rPr>
            </w:pPr>
            <w:r w:rsidRPr="00494D8C">
              <w:rPr>
                <w:rFonts w:ascii="Times New Roman" w:hAnsi="Times New Roman"/>
              </w:rPr>
              <w:t>"</w:t>
            </w:r>
            <w:r w:rsidR="00766F39" w:rsidRPr="00494D8C">
              <w:rPr>
                <w:rFonts w:ascii="Times New Roman" w:hAnsi="Times New Roman"/>
              </w:rPr>
              <w:t>39.</w:t>
            </w:r>
          </w:p>
        </w:tc>
        <w:tc>
          <w:tcPr>
            <w:tcW w:w="3852" w:type="dxa"/>
          </w:tcPr>
          <w:p w14:paraId="052F85B3" w14:textId="77777777" w:rsidR="00766F39" w:rsidRPr="00494D8C" w:rsidRDefault="00766F39" w:rsidP="00E11E13">
            <w:pPr>
              <w:pStyle w:val="NormalOCAshurst"/>
              <w:rPr>
                <w:b/>
              </w:rPr>
            </w:pPr>
            <w:r w:rsidRPr="00494D8C">
              <w:rPr>
                <w:b/>
              </w:rPr>
              <w:t>Early Payment Amount:</w:t>
            </w:r>
          </w:p>
        </w:tc>
        <w:tc>
          <w:tcPr>
            <w:tcW w:w="3694" w:type="dxa"/>
          </w:tcPr>
          <w:p w14:paraId="0B28EA63" w14:textId="00EC693D" w:rsidR="00766F39" w:rsidRPr="00494D8C" w:rsidRDefault="00766F39" w:rsidP="00E11E13">
            <w:pPr>
              <w:pStyle w:val="NormalOCAshurst"/>
            </w:pPr>
            <w:r w:rsidRPr="00494D8C">
              <w:t xml:space="preserve">[[Early Payment Amount 1/Early Payment Amount 2/Early Payment Amount 3/the Amortised Face Amount (as defined in General Condition </w:t>
            </w:r>
            <w:r w:rsidR="0022250A" w:rsidRPr="00494D8C">
              <w:t>5.5</w:t>
            </w:r>
            <w:r w:rsidRPr="00494D8C">
              <w:t xml:space="preserve"> (</w:t>
            </w:r>
            <w:r w:rsidRPr="00494D8C">
              <w:rPr>
                <w:i/>
              </w:rPr>
              <w:t>Early Redemption of Zero Coupon Notes</w:t>
            </w:r>
            <w:r w:rsidRPr="00494D8C">
              <w:t>)] is applicable]</w:t>
            </w:r>
            <w:r w:rsidR="00F74B24" w:rsidRPr="00494D8C">
              <w:t>/[Early Payment Amount 1/Early Payment Amount 2], provided that, in respect of General Condition 15.2(b), the Early Payment Amount shall be Early Payment Amount 3 calculated in respect of the Acceleration Date]</w:t>
            </w:r>
            <w:r w:rsidR="0022250A" w:rsidRPr="00494D8C">
              <w:t>"</w:t>
            </w:r>
          </w:p>
        </w:tc>
      </w:tr>
    </w:tbl>
    <w:p w14:paraId="4043329B" w14:textId="77777777" w:rsidR="0022250A" w:rsidRPr="00494D8C" w:rsidRDefault="0022250A" w:rsidP="0022250A">
      <w:pPr>
        <w:pStyle w:val="NormalOCAshurst"/>
        <w:spacing w:after="0"/>
        <w:ind w:left="567" w:hanging="567"/>
        <w:rPr>
          <w:bCs/>
        </w:rPr>
      </w:pPr>
    </w:p>
    <w:p w14:paraId="1AF5B724" w14:textId="4505F536" w:rsidR="0022250A" w:rsidRPr="00494D8C" w:rsidRDefault="0022250A" w:rsidP="0022250A">
      <w:pPr>
        <w:pStyle w:val="NormalOCAshurst"/>
        <w:ind w:left="567" w:hanging="567"/>
        <w:rPr>
          <w:bCs/>
        </w:rPr>
      </w:pPr>
      <w:r w:rsidRPr="00494D8C">
        <w:rPr>
          <w:bCs/>
        </w:rPr>
        <w:t>(v)</w:t>
      </w:r>
      <w:r w:rsidRPr="00494D8C">
        <w:rPr>
          <w:bCs/>
        </w:rPr>
        <w:tab/>
        <w:t>Paragraph 63 (</w:t>
      </w:r>
      <w:r w:rsidRPr="00494D8C">
        <w:rPr>
          <w:bCs/>
          <w:i/>
          <w:iCs/>
        </w:rPr>
        <w:t>Gross Up (General Condition 18</w:t>
      </w:r>
      <w:r w:rsidRPr="00494D8C">
        <w:rPr>
          <w:bCs/>
        </w:rPr>
        <w:t>) in Part A (</w:t>
      </w:r>
      <w:r w:rsidRPr="00494D8C">
        <w:rPr>
          <w:bCs/>
          <w:i/>
          <w:iCs/>
        </w:rPr>
        <w:t>Contractual Terms</w:t>
      </w:r>
      <w:r w:rsidRPr="00494D8C">
        <w:rPr>
          <w:bCs/>
        </w:rPr>
        <w:t>) of the Form of Pricing Supplement on page 565 of the Original Offering Circular is deleted and replaced with the following:</w:t>
      </w:r>
    </w:p>
    <w:tbl>
      <w:tblPr>
        <w:tblStyle w:val="TableGrid"/>
        <w:tblW w:w="8363"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7"/>
        <w:gridCol w:w="3852"/>
        <w:gridCol w:w="3694"/>
      </w:tblGrid>
      <w:tr w:rsidR="00766F39" w:rsidRPr="00494D8C" w14:paraId="6098FAC3" w14:textId="77777777" w:rsidTr="00A6003C">
        <w:tc>
          <w:tcPr>
            <w:tcW w:w="817" w:type="dxa"/>
          </w:tcPr>
          <w:p w14:paraId="57EDCA5F" w14:textId="5E59DEF8" w:rsidR="00766F39" w:rsidRPr="00494D8C" w:rsidRDefault="00CA64A0" w:rsidP="00766F39">
            <w:pPr>
              <w:pStyle w:val="TableNum1OCAshurst"/>
              <w:numPr>
                <w:ilvl w:val="0"/>
                <w:numId w:val="0"/>
              </w:numPr>
              <w:rPr>
                <w:rFonts w:ascii="Times New Roman" w:hAnsi="Times New Roman"/>
              </w:rPr>
            </w:pPr>
            <w:r w:rsidRPr="00494D8C">
              <w:rPr>
                <w:rFonts w:ascii="Times New Roman" w:hAnsi="Times New Roman"/>
              </w:rPr>
              <w:t>"</w:t>
            </w:r>
            <w:r w:rsidR="00766F39" w:rsidRPr="00494D8C">
              <w:rPr>
                <w:rFonts w:ascii="Times New Roman" w:hAnsi="Times New Roman"/>
              </w:rPr>
              <w:t>63.</w:t>
            </w:r>
          </w:p>
        </w:tc>
        <w:tc>
          <w:tcPr>
            <w:tcW w:w="3852" w:type="dxa"/>
          </w:tcPr>
          <w:p w14:paraId="587988C3" w14:textId="06CFB30E" w:rsidR="00766F39" w:rsidRPr="00494D8C" w:rsidRDefault="00766F39" w:rsidP="00E11E13">
            <w:pPr>
              <w:pStyle w:val="NormalOCAshurst"/>
              <w:rPr>
                <w:b/>
              </w:rPr>
            </w:pPr>
            <w:r w:rsidRPr="00494D8C">
              <w:rPr>
                <w:b/>
              </w:rPr>
              <w:t>Gross Up (General Condition 18):</w:t>
            </w:r>
          </w:p>
        </w:tc>
        <w:tc>
          <w:tcPr>
            <w:tcW w:w="3694" w:type="dxa"/>
          </w:tcPr>
          <w:p w14:paraId="4980786E" w14:textId="4F169AA4" w:rsidR="00766F39" w:rsidRPr="00494D8C" w:rsidRDefault="00766F39" w:rsidP="00E11E13">
            <w:pPr>
              <w:pStyle w:val="NormalOCAshurst"/>
            </w:pPr>
            <w:r w:rsidRPr="00494D8C">
              <w:t>Not Applicable / Applicable – as specified in General Condition 18.1/ Other (specify).</w:t>
            </w:r>
          </w:p>
        </w:tc>
      </w:tr>
      <w:tr w:rsidR="00766F39" w:rsidRPr="00494D8C" w14:paraId="57AD78E5" w14:textId="77777777" w:rsidTr="00A6003C">
        <w:tc>
          <w:tcPr>
            <w:tcW w:w="817" w:type="dxa"/>
          </w:tcPr>
          <w:p w14:paraId="67D8ECC5" w14:textId="77777777" w:rsidR="00766F39" w:rsidRPr="00494D8C" w:rsidRDefault="00766F39" w:rsidP="00E11E13">
            <w:pPr>
              <w:pStyle w:val="NormalOCAshurst"/>
            </w:pPr>
          </w:p>
        </w:tc>
        <w:tc>
          <w:tcPr>
            <w:tcW w:w="3852" w:type="dxa"/>
          </w:tcPr>
          <w:p w14:paraId="08002AEB" w14:textId="77777777" w:rsidR="00766F39" w:rsidRPr="00494D8C" w:rsidRDefault="00766F39" w:rsidP="00E11E13">
            <w:pPr>
              <w:pStyle w:val="NormalOCAshurst"/>
            </w:pPr>
          </w:p>
        </w:tc>
        <w:tc>
          <w:tcPr>
            <w:tcW w:w="3694" w:type="dxa"/>
          </w:tcPr>
          <w:p w14:paraId="097B3BB0" w14:textId="77777777" w:rsidR="00766F39" w:rsidRPr="00494D8C" w:rsidRDefault="00766F39" w:rsidP="00E11E13">
            <w:pPr>
              <w:pStyle w:val="NormalOCAshurst"/>
            </w:pPr>
            <w:r w:rsidRPr="00494D8C">
              <w:t>(</w:t>
            </w:r>
            <w:r w:rsidRPr="00494D8C">
              <w:rPr>
                <w:i/>
              </w:rPr>
              <w:t>If Not Applicable, delete sub-paragraphs (i) and (ii) and re-number sub-paragraph (iii) accordingly</w:t>
            </w:r>
            <w:r w:rsidRPr="00494D8C">
              <w:t>)</w:t>
            </w:r>
          </w:p>
        </w:tc>
      </w:tr>
      <w:tr w:rsidR="00766F39" w:rsidRPr="00494D8C" w14:paraId="2CE99573" w14:textId="77777777" w:rsidTr="00A6003C">
        <w:tc>
          <w:tcPr>
            <w:tcW w:w="817" w:type="dxa"/>
          </w:tcPr>
          <w:p w14:paraId="3503DE9B" w14:textId="77777777" w:rsidR="00766F39" w:rsidRPr="00494D8C" w:rsidRDefault="00766F39" w:rsidP="00E11E13">
            <w:pPr>
              <w:pStyle w:val="NormalOCAshurst"/>
            </w:pPr>
          </w:p>
        </w:tc>
        <w:tc>
          <w:tcPr>
            <w:tcW w:w="3852" w:type="dxa"/>
          </w:tcPr>
          <w:p w14:paraId="707FABFC" w14:textId="67081FCF" w:rsidR="00766F39" w:rsidRPr="00494D8C" w:rsidRDefault="00766F39" w:rsidP="00E11E13">
            <w:pPr>
              <w:pStyle w:val="NormalOCAshurst"/>
              <w:ind w:left="709" w:hanging="709"/>
            </w:pPr>
            <w:r w:rsidRPr="00494D8C">
              <w:t>[(i)</w:t>
            </w:r>
            <w:r w:rsidRPr="00494D8C">
              <w:tab/>
              <w:t>Exclude Section 871(m) Taxes from Gross Up (General Condition 18):</w:t>
            </w:r>
          </w:p>
        </w:tc>
        <w:tc>
          <w:tcPr>
            <w:tcW w:w="3694" w:type="dxa"/>
          </w:tcPr>
          <w:p w14:paraId="6CF5CDEB" w14:textId="0F754A7A" w:rsidR="00766F39" w:rsidRPr="00494D8C" w:rsidRDefault="00766F39" w:rsidP="00E11E13">
            <w:pPr>
              <w:pStyle w:val="NormalOCAshurst"/>
            </w:pPr>
            <w:r w:rsidRPr="00494D8C">
              <w:t>[Not Applicable / Applicable – as specified in General Condition 18.1/ Other (</w:t>
            </w:r>
            <w:r w:rsidRPr="00494D8C">
              <w:rPr>
                <w:i/>
              </w:rPr>
              <w:t>specify</w:t>
            </w:r>
            <w:r w:rsidRPr="00494D8C">
              <w:t>)] ]</w:t>
            </w:r>
          </w:p>
        </w:tc>
      </w:tr>
      <w:tr w:rsidR="00766F39" w:rsidRPr="00494D8C" w14:paraId="18E46057" w14:textId="77777777" w:rsidTr="00A6003C">
        <w:tc>
          <w:tcPr>
            <w:tcW w:w="817" w:type="dxa"/>
          </w:tcPr>
          <w:p w14:paraId="181737F8" w14:textId="77777777" w:rsidR="00766F39" w:rsidRPr="00494D8C" w:rsidRDefault="00766F39" w:rsidP="00E11E13">
            <w:pPr>
              <w:pStyle w:val="NormalOCAshurst"/>
            </w:pPr>
          </w:p>
        </w:tc>
        <w:tc>
          <w:tcPr>
            <w:tcW w:w="3852" w:type="dxa"/>
          </w:tcPr>
          <w:p w14:paraId="4DCADABE" w14:textId="7596F9DA" w:rsidR="00766F39" w:rsidRPr="00494D8C" w:rsidRDefault="00766F39" w:rsidP="00E11E13">
            <w:pPr>
              <w:pStyle w:val="NormalOCAshurst"/>
              <w:ind w:left="709" w:hanging="709"/>
            </w:pPr>
            <w:r w:rsidRPr="00494D8C">
              <w:t>[(ii)</w:t>
            </w:r>
            <w:r w:rsidRPr="00494D8C">
              <w:tab/>
              <w:t>Exclude U.S. Withholding Taxes other than Section 871(m) Taxes from Gross Up (General Condition 18):</w:t>
            </w:r>
          </w:p>
        </w:tc>
        <w:tc>
          <w:tcPr>
            <w:tcW w:w="3694" w:type="dxa"/>
          </w:tcPr>
          <w:p w14:paraId="7A3686F5" w14:textId="72FEE5FC" w:rsidR="00766F39" w:rsidRPr="00494D8C" w:rsidRDefault="00766F39" w:rsidP="00E11E13">
            <w:pPr>
              <w:pStyle w:val="NormalOCAshurst"/>
            </w:pPr>
            <w:r w:rsidRPr="00494D8C">
              <w:t>[Not Applicable / Applicable – as specified in General Condition 18.</w:t>
            </w:r>
            <w:r w:rsidR="00063054" w:rsidRPr="00494D8C">
              <w:t>1/</w:t>
            </w:r>
            <w:r w:rsidRPr="00494D8C">
              <w:t xml:space="preserve"> Other (</w:t>
            </w:r>
            <w:r w:rsidRPr="00494D8C">
              <w:rPr>
                <w:i/>
              </w:rPr>
              <w:t>specify</w:t>
            </w:r>
            <w:r w:rsidRPr="00494D8C">
              <w:t>)] ]</w:t>
            </w:r>
          </w:p>
        </w:tc>
      </w:tr>
      <w:tr w:rsidR="00766F39" w:rsidRPr="00494D8C" w14:paraId="68653363" w14:textId="77777777" w:rsidTr="00A6003C">
        <w:tc>
          <w:tcPr>
            <w:tcW w:w="817" w:type="dxa"/>
          </w:tcPr>
          <w:p w14:paraId="0C509C7C" w14:textId="77777777" w:rsidR="00766F39" w:rsidRPr="00494D8C" w:rsidRDefault="00766F39" w:rsidP="00E11E13">
            <w:pPr>
              <w:pStyle w:val="NormalOCAshurst"/>
            </w:pPr>
          </w:p>
        </w:tc>
        <w:tc>
          <w:tcPr>
            <w:tcW w:w="3852" w:type="dxa"/>
          </w:tcPr>
          <w:p w14:paraId="0B900157" w14:textId="77777777" w:rsidR="00766F39" w:rsidRPr="00494D8C" w:rsidRDefault="00766F39" w:rsidP="00E11E13">
            <w:pPr>
              <w:pStyle w:val="NormalOCAshurst"/>
            </w:pPr>
            <w:r w:rsidRPr="00494D8C">
              <w:t>(iii)</w:t>
            </w:r>
            <w:r w:rsidRPr="00494D8C">
              <w:tab/>
              <w:t>871(m) Securities:</w:t>
            </w:r>
          </w:p>
        </w:tc>
        <w:tc>
          <w:tcPr>
            <w:tcW w:w="3694" w:type="dxa"/>
          </w:tcPr>
          <w:p w14:paraId="2E90143D" w14:textId="49265363" w:rsidR="00766F39" w:rsidRPr="00494D8C" w:rsidRDefault="00766F39" w:rsidP="00E11E13">
            <w:pPr>
              <w:pStyle w:val="NormalOCAshurst"/>
            </w:pPr>
            <w:r w:rsidRPr="00494D8C">
              <w:t>Section 871(m) and the regulations promulgated thereunder [will] [will not] apply to the Securities</w:t>
            </w:r>
            <w:r w:rsidR="00CA64A0" w:rsidRPr="00494D8C">
              <w:t>"</w:t>
            </w:r>
          </w:p>
        </w:tc>
      </w:tr>
    </w:tbl>
    <w:p w14:paraId="5B2BF77E" w14:textId="77777777" w:rsidR="0022250A" w:rsidRPr="00494D8C" w:rsidRDefault="0022250A" w:rsidP="0022250A">
      <w:pPr>
        <w:pStyle w:val="NormalOCAshurst"/>
        <w:spacing w:after="0"/>
        <w:ind w:left="567" w:hanging="567"/>
        <w:rPr>
          <w:bCs/>
        </w:rPr>
      </w:pPr>
    </w:p>
    <w:p w14:paraId="3A900D0D" w14:textId="1A3CEEA0" w:rsidR="0022250A" w:rsidRPr="00494D8C" w:rsidRDefault="0022250A" w:rsidP="0022250A">
      <w:pPr>
        <w:pStyle w:val="NormalOCAshurst"/>
        <w:ind w:left="567" w:hanging="567"/>
        <w:rPr>
          <w:bCs/>
        </w:rPr>
      </w:pPr>
      <w:r w:rsidRPr="00494D8C">
        <w:rPr>
          <w:bCs/>
        </w:rPr>
        <w:t>(v</w:t>
      </w:r>
      <w:r w:rsidR="00E4741E" w:rsidRPr="00494D8C">
        <w:rPr>
          <w:bCs/>
        </w:rPr>
        <w:t>i</w:t>
      </w:r>
      <w:r w:rsidRPr="00494D8C">
        <w:rPr>
          <w:bCs/>
        </w:rPr>
        <w:t>)</w:t>
      </w:r>
      <w:r w:rsidRPr="00494D8C">
        <w:rPr>
          <w:bCs/>
        </w:rPr>
        <w:tab/>
        <w:t>Paragraph 71 (</w:t>
      </w:r>
      <w:r w:rsidR="00EF0391" w:rsidRPr="00494D8C">
        <w:rPr>
          <w:bCs/>
          <w:i/>
          <w:iCs/>
        </w:rPr>
        <w:t>Additional Selling Restrictions</w:t>
      </w:r>
      <w:r w:rsidRPr="00494D8C">
        <w:rPr>
          <w:bCs/>
        </w:rPr>
        <w:t>) in Part A (</w:t>
      </w:r>
      <w:r w:rsidRPr="00494D8C">
        <w:rPr>
          <w:bCs/>
          <w:i/>
          <w:iCs/>
        </w:rPr>
        <w:t>Contractual Terms</w:t>
      </w:r>
      <w:r w:rsidRPr="00494D8C">
        <w:rPr>
          <w:bCs/>
        </w:rPr>
        <w:t>) of the Form of Pricing Supplement on page 56</w:t>
      </w:r>
      <w:r w:rsidR="00603A9E" w:rsidRPr="00494D8C">
        <w:rPr>
          <w:bCs/>
        </w:rPr>
        <w:t>8</w:t>
      </w:r>
      <w:r w:rsidRPr="00494D8C">
        <w:rPr>
          <w:bCs/>
        </w:rPr>
        <w:t xml:space="preserve"> of the Original Offering Circular is deleted and replaced with the following:</w:t>
      </w:r>
    </w:p>
    <w:tbl>
      <w:tblPr>
        <w:tblStyle w:val="TableGrid"/>
        <w:tblW w:w="8363"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7"/>
        <w:gridCol w:w="3852"/>
        <w:gridCol w:w="3694"/>
      </w:tblGrid>
      <w:tr w:rsidR="00F74B24" w:rsidRPr="00494D8C" w14:paraId="5902E9FE" w14:textId="77777777" w:rsidTr="00A6003C">
        <w:tc>
          <w:tcPr>
            <w:tcW w:w="817" w:type="dxa"/>
          </w:tcPr>
          <w:p w14:paraId="6148169B" w14:textId="46125A7D" w:rsidR="00F74B24" w:rsidRPr="00494D8C" w:rsidRDefault="00CA64A0" w:rsidP="00F74B24">
            <w:pPr>
              <w:pStyle w:val="TableNum1OCAshurst"/>
              <w:numPr>
                <w:ilvl w:val="0"/>
                <w:numId w:val="0"/>
              </w:numPr>
              <w:rPr>
                <w:rFonts w:ascii="Times New Roman" w:hAnsi="Times New Roman"/>
              </w:rPr>
            </w:pPr>
            <w:r w:rsidRPr="00494D8C">
              <w:rPr>
                <w:rFonts w:ascii="Times New Roman" w:hAnsi="Times New Roman"/>
              </w:rPr>
              <w:t>"</w:t>
            </w:r>
            <w:r w:rsidR="00F74B24" w:rsidRPr="00494D8C">
              <w:rPr>
                <w:rFonts w:ascii="Times New Roman" w:hAnsi="Times New Roman"/>
              </w:rPr>
              <w:t>71.</w:t>
            </w:r>
          </w:p>
        </w:tc>
        <w:tc>
          <w:tcPr>
            <w:tcW w:w="3852" w:type="dxa"/>
          </w:tcPr>
          <w:p w14:paraId="25981380" w14:textId="77777777" w:rsidR="00F74B24" w:rsidRPr="00494D8C" w:rsidRDefault="00F74B24" w:rsidP="00E11E13">
            <w:pPr>
              <w:pStyle w:val="NormalOCAshurst"/>
              <w:rPr>
                <w:b/>
              </w:rPr>
            </w:pPr>
            <w:r w:rsidRPr="00494D8C">
              <w:rPr>
                <w:b/>
              </w:rPr>
              <w:t>Additional Selling Restrictions:</w:t>
            </w:r>
          </w:p>
        </w:tc>
        <w:tc>
          <w:tcPr>
            <w:tcW w:w="3694" w:type="dxa"/>
          </w:tcPr>
          <w:p w14:paraId="5630CB26" w14:textId="77777777" w:rsidR="00F74B24" w:rsidRPr="00494D8C" w:rsidRDefault="00F74B24" w:rsidP="00E11E13">
            <w:pPr>
              <w:pStyle w:val="NormalOCAshurst"/>
            </w:pPr>
            <w:r w:rsidRPr="00494D8C">
              <w:t>[</w:t>
            </w:r>
            <w:r w:rsidRPr="00494D8C">
              <w:rPr>
                <w:i/>
              </w:rPr>
              <w:t>Specify if different from those set out in the Offering Circular under "Subscription and Sale"/Not applicable</w:t>
            </w:r>
            <w:r w:rsidRPr="00494D8C">
              <w:t>]/[Singapore Selling Restrictions for Other Investors apply]</w:t>
            </w:r>
          </w:p>
          <w:p w14:paraId="28EE4CBE" w14:textId="18930396" w:rsidR="00F74B24" w:rsidRPr="00494D8C" w:rsidRDefault="00F74B24" w:rsidP="00E11E13">
            <w:pPr>
              <w:pStyle w:val="NormalOCAshurst"/>
            </w:pPr>
            <w:r w:rsidRPr="00494D8C">
              <w:lastRenderedPageBreak/>
              <w:t xml:space="preserve">[The Securities are not intended to be offered, sold or otherwise made available to and should not be offered, sold or otherwise made available to any investor that is tax resident in a country that does not have a tax treaty in place with the United States pursuant to which amounts payable under the </w:t>
            </w:r>
            <w:r w:rsidR="00BF0212" w:rsidRPr="00494D8C">
              <w:t>S</w:t>
            </w:r>
            <w:r w:rsidRPr="00494D8C">
              <w:t>ecurities shall be exempt from U.S. withholding tax under the "other income" article or similar provision.] (</w:t>
            </w:r>
            <w:r w:rsidRPr="00494D8C">
              <w:rPr>
                <w:i/>
                <w:iCs/>
              </w:rPr>
              <w:t xml:space="preserve">Include only for contingent coupon structures issued by </w:t>
            </w:r>
            <w:proofErr w:type="spellStart"/>
            <w:r w:rsidRPr="00494D8C">
              <w:rPr>
                <w:i/>
                <w:iCs/>
              </w:rPr>
              <w:t>JPMCFC</w:t>
            </w:r>
            <w:proofErr w:type="spellEnd"/>
            <w:r w:rsidRPr="00494D8C">
              <w:rPr>
                <w:i/>
                <w:iCs/>
              </w:rPr>
              <w:t xml:space="preserve">, </w:t>
            </w:r>
            <w:proofErr w:type="spellStart"/>
            <w:r w:rsidRPr="00494D8C">
              <w:rPr>
                <w:i/>
                <w:iCs/>
              </w:rPr>
              <w:t>JPMCC</w:t>
            </w:r>
            <w:proofErr w:type="spellEnd"/>
            <w:r w:rsidRPr="00494D8C">
              <w:rPr>
                <w:i/>
                <w:iCs/>
              </w:rPr>
              <w:t xml:space="preserve"> or </w:t>
            </w:r>
            <w:proofErr w:type="spellStart"/>
            <w:r w:rsidRPr="00494D8C">
              <w:rPr>
                <w:i/>
                <w:iCs/>
              </w:rPr>
              <w:t>JPMCB</w:t>
            </w:r>
            <w:proofErr w:type="spellEnd"/>
            <w:r w:rsidRPr="00494D8C">
              <w:t>)</w:t>
            </w:r>
            <w:r w:rsidR="00CA64A0" w:rsidRPr="00494D8C">
              <w:t>"</w:t>
            </w:r>
          </w:p>
        </w:tc>
      </w:tr>
    </w:tbl>
    <w:p w14:paraId="4038E222" w14:textId="77777777" w:rsidR="00F74B24" w:rsidRPr="00494D8C" w:rsidRDefault="00F74B24" w:rsidP="00CA64A0">
      <w:pPr>
        <w:pStyle w:val="NormalOCAshurst"/>
        <w:spacing w:after="0"/>
        <w:ind w:left="1134" w:hanging="567"/>
        <w:rPr>
          <w:bCs/>
        </w:rPr>
      </w:pPr>
    </w:p>
    <w:p w14:paraId="326FD2EE" w14:textId="4D46BAC3" w:rsidR="001846F7" w:rsidRPr="00494D8C" w:rsidRDefault="001846F7" w:rsidP="006D2FD3">
      <w:pPr>
        <w:pStyle w:val="NormalOCAshurst"/>
        <w:ind w:left="567" w:hanging="567"/>
        <w:rPr>
          <w:b/>
        </w:rPr>
      </w:pPr>
      <w:r w:rsidRPr="00494D8C">
        <w:t>(vii)</w:t>
      </w:r>
      <w:r w:rsidRPr="00494D8C">
        <w:tab/>
        <w:t xml:space="preserve">The section headed </w:t>
      </w:r>
      <w:r w:rsidRPr="00494D8C">
        <w:rPr>
          <w:i/>
          <w:iCs/>
        </w:rPr>
        <w:t>"Reasons for the Issue, Estimated Net Proceeds and Total Expenses</w:t>
      </w:r>
      <w:r w:rsidRPr="00494D8C">
        <w:t>" in Part B (</w:t>
      </w:r>
      <w:r w:rsidRPr="00494D8C">
        <w:rPr>
          <w:i/>
          <w:iCs/>
        </w:rPr>
        <w:t>Other Information</w:t>
      </w:r>
      <w:r w:rsidRPr="00494D8C">
        <w:t xml:space="preserve">) of the Form of Pricing Supplement </w:t>
      </w:r>
      <w:r w:rsidR="00CA64A0" w:rsidRPr="00494D8C">
        <w:t>on</w:t>
      </w:r>
      <w:r w:rsidRPr="00494D8C">
        <w:t xml:space="preserve"> pages 573 to 57</w:t>
      </w:r>
      <w:r w:rsidR="009771B5" w:rsidRPr="00494D8C">
        <w:t>6</w:t>
      </w:r>
      <w:r w:rsidRPr="00494D8C">
        <w:t xml:space="preserve"> of the Original Offering Circular is deleted and replaced with the following (along with the accompanying footnotes below and each of the subsequent footnotes shall be renumbered accordingly):</w:t>
      </w:r>
    </w:p>
    <w:p w14:paraId="5C0D2BCF" w14:textId="26FB169E" w:rsidR="00CA64A0" w:rsidRPr="00494D8C" w:rsidRDefault="00CA64A0" w:rsidP="00232ED9">
      <w:pPr>
        <w:pStyle w:val="NormalOCAshurst"/>
        <w:ind w:left="567"/>
        <w:rPr>
          <w:b/>
        </w:rPr>
      </w:pPr>
      <w:r w:rsidRPr="00494D8C">
        <w:rPr>
          <w:bCs/>
        </w:rPr>
        <w:t>"</w:t>
      </w:r>
      <w:r w:rsidRPr="00494D8C">
        <w:rPr>
          <w:b/>
        </w:rPr>
        <w:t>REASONS FOR THE ISSUE, ESTIMATED NET PROCEEDS AND TOTAL EXPENSES</w:t>
      </w:r>
    </w:p>
    <w:tbl>
      <w:tblPr>
        <w:tblStyle w:val="TableGrid"/>
        <w:tblW w:w="902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2"/>
        <w:gridCol w:w="1543"/>
        <w:gridCol w:w="6772"/>
      </w:tblGrid>
      <w:tr w:rsidR="00CA64A0" w:rsidRPr="00494D8C" w14:paraId="22018CFF" w14:textId="77777777" w:rsidTr="00232ED9">
        <w:tc>
          <w:tcPr>
            <w:tcW w:w="712" w:type="dxa"/>
          </w:tcPr>
          <w:p w14:paraId="00569485" w14:textId="77777777" w:rsidR="00CA64A0" w:rsidRPr="00494D8C" w:rsidRDefault="00CA64A0" w:rsidP="00E11E13">
            <w:pPr>
              <w:pStyle w:val="NormalOCAshurst"/>
            </w:pPr>
            <w:r w:rsidRPr="00494D8C">
              <w:t>[(i)</w:t>
            </w:r>
          </w:p>
        </w:tc>
        <w:tc>
          <w:tcPr>
            <w:tcW w:w="1543" w:type="dxa"/>
          </w:tcPr>
          <w:p w14:paraId="148C7083" w14:textId="77777777" w:rsidR="00CA64A0" w:rsidRPr="00494D8C" w:rsidRDefault="00CA64A0" w:rsidP="00E11E13">
            <w:pPr>
              <w:pStyle w:val="NormalOCAshurst"/>
            </w:pPr>
            <w:r w:rsidRPr="00494D8C">
              <w:t>Reasons for the issue:</w:t>
            </w:r>
          </w:p>
        </w:tc>
        <w:tc>
          <w:tcPr>
            <w:tcW w:w="6772" w:type="dxa"/>
          </w:tcPr>
          <w:p w14:paraId="6AC4FBEC" w14:textId="77777777" w:rsidR="00CA64A0" w:rsidRPr="00494D8C" w:rsidRDefault="00CA64A0" w:rsidP="00E11E13">
            <w:pPr>
              <w:pStyle w:val="NormalOCAshurst"/>
            </w:pPr>
            <w:r w:rsidRPr="00494D8C">
              <w:t>[Not Applicable]/[</w:t>
            </w:r>
            <w:r w:rsidRPr="00494D8C">
              <w:fldChar w:fldCharType="begin"/>
            </w:r>
            <w:r w:rsidRPr="00494D8C">
              <w:instrText xml:space="preserve"> SYMBOL 108\f wingdings \s8\h \* MERGEFORMAT </w:instrText>
            </w:r>
            <w:r w:rsidRPr="00494D8C">
              <w:fldChar w:fldCharType="end"/>
            </w:r>
            <w:r w:rsidRPr="00494D8C">
              <w:t>]</w:t>
            </w:r>
          </w:p>
        </w:tc>
      </w:tr>
      <w:tr w:rsidR="00CA64A0" w:rsidRPr="00494D8C" w14:paraId="0264F46B" w14:textId="77777777" w:rsidTr="00232ED9">
        <w:tc>
          <w:tcPr>
            <w:tcW w:w="712" w:type="dxa"/>
          </w:tcPr>
          <w:p w14:paraId="308ACCDB" w14:textId="77777777" w:rsidR="00CA64A0" w:rsidRPr="00494D8C" w:rsidRDefault="00CA64A0" w:rsidP="00E11E13">
            <w:pPr>
              <w:pStyle w:val="NormalOCAshurst"/>
            </w:pPr>
          </w:p>
        </w:tc>
        <w:tc>
          <w:tcPr>
            <w:tcW w:w="1543" w:type="dxa"/>
          </w:tcPr>
          <w:p w14:paraId="57E1CC91" w14:textId="77777777" w:rsidR="00CA64A0" w:rsidRPr="00494D8C" w:rsidRDefault="00CA64A0" w:rsidP="00E11E13">
            <w:pPr>
              <w:pStyle w:val="NormalOCAshurst"/>
            </w:pPr>
          </w:p>
        </w:tc>
        <w:tc>
          <w:tcPr>
            <w:tcW w:w="6772" w:type="dxa"/>
          </w:tcPr>
          <w:p w14:paraId="0C71BCCE" w14:textId="77777777" w:rsidR="00CA64A0" w:rsidRPr="00494D8C" w:rsidRDefault="00CA64A0" w:rsidP="00E11E13">
            <w:pPr>
              <w:pStyle w:val="NormalOCAshurst"/>
            </w:pPr>
            <w:r w:rsidRPr="00494D8C">
              <w:t>(</w:t>
            </w:r>
            <w:r w:rsidRPr="00494D8C">
              <w:rPr>
                <w:i/>
              </w:rPr>
              <w:t>See "Use of Proceeds"- For Securities issued by any Issuer, if reasons for issue different from making profit and/or hedging certain risks, to include those reasons here. In addition, for Securities issued by JPMorgan Chase &amp; Co., if the use of proceeds differs from "Use of Proceeds", include information on the principal intended uses and the order of priority in which such uses are ranked</w:t>
            </w:r>
            <w:r w:rsidRPr="00494D8C">
              <w:t>)</w:t>
            </w:r>
          </w:p>
        </w:tc>
      </w:tr>
      <w:tr w:rsidR="00CA64A0" w:rsidRPr="00494D8C" w14:paraId="113FF373" w14:textId="77777777" w:rsidTr="00232ED9">
        <w:tc>
          <w:tcPr>
            <w:tcW w:w="712" w:type="dxa"/>
          </w:tcPr>
          <w:p w14:paraId="76016E95" w14:textId="77777777" w:rsidR="00CA64A0" w:rsidRPr="00494D8C" w:rsidRDefault="00CA64A0" w:rsidP="00E11E13">
            <w:pPr>
              <w:pStyle w:val="NormalOCAshurst"/>
            </w:pPr>
          </w:p>
        </w:tc>
        <w:tc>
          <w:tcPr>
            <w:tcW w:w="1543" w:type="dxa"/>
          </w:tcPr>
          <w:p w14:paraId="2FFC2F70" w14:textId="77777777" w:rsidR="00CA64A0" w:rsidRPr="00494D8C" w:rsidRDefault="00CA64A0" w:rsidP="00E11E13">
            <w:pPr>
              <w:pStyle w:val="NormalOCAshurst"/>
            </w:pPr>
          </w:p>
        </w:tc>
        <w:tc>
          <w:tcPr>
            <w:tcW w:w="6772" w:type="dxa"/>
          </w:tcPr>
          <w:p w14:paraId="78B4960E" w14:textId="77777777" w:rsidR="00CA64A0" w:rsidRPr="00494D8C" w:rsidRDefault="00CA64A0" w:rsidP="00E11E13">
            <w:pPr>
              <w:pStyle w:val="NormalOCAshurst"/>
            </w:pPr>
            <w:bookmarkStart w:id="1" w:name="_Hlk134718576"/>
            <w:r w:rsidRPr="00494D8C">
              <w:t>(</w:t>
            </w:r>
            <w:r w:rsidRPr="00494D8C">
              <w:rPr>
                <w:i/>
                <w:iCs/>
              </w:rPr>
              <w:t>Complete the following for Sustainable Securities</w:t>
            </w:r>
            <w:r w:rsidRPr="00494D8C">
              <w:t>)</w:t>
            </w:r>
          </w:p>
          <w:p w14:paraId="42ED8408" w14:textId="77777777" w:rsidR="00CA64A0" w:rsidRPr="00494D8C" w:rsidRDefault="00CA64A0" w:rsidP="00E11E13">
            <w:pPr>
              <w:pStyle w:val="NormalOCAshurst"/>
              <w:rPr>
                <w:b/>
                <w:bCs/>
              </w:rPr>
            </w:pPr>
            <w:r w:rsidRPr="00494D8C">
              <w:t>[</w:t>
            </w:r>
            <w:r w:rsidRPr="00494D8C">
              <w:rPr>
                <w:b/>
                <w:bCs/>
              </w:rPr>
              <w:t>Use of Proceeds</w:t>
            </w:r>
          </w:p>
          <w:p w14:paraId="2CEF04F1" w14:textId="271FEE96" w:rsidR="00CA64A0" w:rsidRPr="00494D8C" w:rsidRDefault="00CA64A0" w:rsidP="00E11E13">
            <w:pPr>
              <w:pStyle w:val="NormalOCAshurst"/>
            </w:pPr>
            <w:bookmarkStart w:id="2" w:name="_Hlk130316292"/>
            <w:r w:rsidRPr="00494D8C">
              <w:t>The Securities are [Green]/[Social]/[Sustainability] Securities issued pursuant to the terms of JPMorgan Chase's Sustainable Bond Framework (available at [</w:t>
            </w:r>
            <w:hyperlink r:id="rId14" w:history="1">
              <w:r w:rsidRPr="00494D8C">
                <w:rPr>
                  <w:rStyle w:val="Hyperlink"/>
                  <w:rFonts w:ascii="Times New Roman" w:hAnsi="Times New Roman" w:cs="Times New Roman"/>
                  <w:szCs w:val="20"/>
                </w:rPr>
                <w:t>https://www.jpmorganchase.com/content/dam/jpmc/jpmorgan-chase-and-co/documents/jpmc-sustainable-bond-framework.pdf</w:t>
              </w:r>
            </w:hyperlink>
            <w:r w:rsidRPr="00494D8C">
              <w:rPr>
                <w:rStyle w:val="Hyperlink"/>
                <w:rFonts w:ascii="Times New Roman" w:hAnsi="Times New Roman" w:cs="Times New Roman"/>
                <w:szCs w:val="20"/>
              </w:rPr>
              <w:t xml:space="preserve"> </w:t>
            </w:r>
            <w:r w:rsidRPr="00494D8C">
              <w:t>(or any successor website)]/[</w:t>
            </w:r>
            <w:r w:rsidRPr="00494D8C">
              <w:rPr>
                <w:i/>
                <w:iCs/>
              </w:rPr>
              <w:t>specify website</w:t>
            </w:r>
            <w:r w:rsidRPr="00494D8C">
              <w:t>]). [The Issuer intends to lend the net proceeds from the sale of the Securities to JPMorgan Chase &amp; Co. and/or its consolidated affiliates (collectively, "</w:t>
            </w:r>
            <w:r w:rsidRPr="00494D8C">
              <w:rPr>
                <w:b/>
                <w:bCs/>
              </w:rPr>
              <w:t>JPMorgan Chase</w:t>
            </w:r>
            <w:r w:rsidRPr="00494D8C">
              <w:t>"), and JPMorgan Chase intends to allocate an amount equal to the proceeds of such loan to fund [Eligible Green Projects] [and/or] [Eligible Social Projects] ([collectively,] the "</w:t>
            </w:r>
            <w:r w:rsidRPr="00494D8C">
              <w:rPr>
                <w:b/>
                <w:bCs/>
              </w:rPr>
              <w:t>Eligible Projects</w:t>
            </w:r>
            <w:r w:rsidRPr="00494D8C">
              <w:t>") on a portfolio basis, as described below.]</w:t>
            </w:r>
            <w:r w:rsidR="00232ED9" w:rsidRPr="00494D8C">
              <w:rPr>
                <w:vertAlign w:val="superscript"/>
              </w:rPr>
              <w:t>60</w:t>
            </w:r>
            <w:r w:rsidR="00232ED9" w:rsidRPr="00494D8C">
              <w:t xml:space="preserve"> </w:t>
            </w:r>
            <w:r w:rsidRPr="00494D8C">
              <w:t>/[JPMorgan Chase &amp; Co. and/or its consolidated affiliates (collectively, "</w:t>
            </w:r>
            <w:r w:rsidRPr="00494D8C">
              <w:rPr>
                <w:b/>
                <w:bCs/>
              </w:rPr>
              <w:t>JPMorgan Chase</w:t>
            </w:r>
            <w:r w:rsidRPr="00494D8C">
              <w:t>") intends to allocate an amount equal to the net proceeds of the issuance of the Securities to fund [Eligible Green Projects] [and/or] [Eligible Social Projects] ([collectively,] the "</w:t>
            </w:r>
            <w:r w:rsidRPr="00494D8C">
              <w:rPr>
                <w:b/>
                <w:bCs/>
              </w:rPr>
              <w:t>Eligible Projects</w:t>
            </w:r>
            <w:r w:rsidRPr="00494D8C">
              <w:t>") on a portfolio basis, as described below.]</w:t>
            </w:r>
            <w:r w:rsidR="00232ED9" w:rsidRPr="00494D8C">
              <w:rPr>
                <w:vertAlign w:val="superscript"/>
              </w:rPr>
              <w:t>61</w:t>
            </w:r>
            <w:r w:rsidRPr="00494D8C">
              <w:t xml:space="preserve"> Eligible Projects include projects for which JPMorgan Chase disburses funds up to 24 months prior to the issuance of the Securities. This may include either the financing or refinancing of projects that meet the following eligibility criteria or lending to clients that require financing for projects if the activity meets the following eligibility criteria:</w:t>
            </w:r>
          </w:p>
          <w:bookmarkEnd w:id="2"/>
          <w:p w14:paraId="689D69D0" w14:textId="77777777" w:rsidR="00CA64A0" w:rsidRPr="00494D8C" w:rsidRDefault="00CA64A0" w:rsidP="00E11E13">
            <w:pPr>
              <w:pStyle w:val="NormalOCAshurst"/>
              <w:rPr>
                <w:i/>
                <w:iCs/>
              </w:rPr>
            </w:pPr>
            <w:r w:rsidRPr="00494D8C">
              <w:t>[</w:t>
            </w:r>
            <w:r w:rsidRPr="00494D8C">
              <w:rPr>
                <w:i/>
                <w:iCs/>
              </w:rPr>
              <w:t>Eligible Green Projects</w:t>
            </w:r>
          </w:p>
          <w:p w14:paraId="79F14FB6" w14:textId="77777777" w:rsidR="00CA64A0" w:rsidRPr="00494D8C" w:rsidRDefault="00CA64A0" w:rsidP="00E11E13">
            <w:pPr>
              <w:pStyle w:val="BulletOCAshurst"/>
              <w:rPr>
                <w:rFonts w:ascii="Times New Roman" w:hAnsi="Times New Roman"/>
              </w:rPr>
            </w:pPr>
            <w:r w:rsidRPr="00494D8C">
              <w:rPr>
                <w:rFonts w:ascii="Times New Roman" w:hAnsi="Times New Roman"/>
              </w:rPr>
              <w:t>Green buildings, including the development, construction, installation, operation, acquisition, maintenance, upgrades and associated costs relating to:</w:t>
            </w:r>
          </w:p>
          <w:p w14:paraId="398C02B0" w14:textId="77777777" w:rsidR="00CA64A0" w:rsidRPr="00494D8C" w:rsidRDefault="00CA64A0" w:rsidP="00E11E13">
            <w:pPr>
              <w:pStyle w:val="NormalOCAshurst"/>
              <w:ind w:left="1276" w:hanging="567"/>
            </w:pPr>
            <w:r w:rsidRPr="00494D8C">
              <w:t>–</w:t>
            </w:r>
            <w:r w:rsidRPr="00494D8C">
              <w:tab/>
              <w:t xml:space="preserve">new or existing commercial or residential buildings that meet certain regional, national or internationally-recognised standards </w:t>
            </w:r>
            <w:r w:rsidRPr="00494D8C">
              <w:lastRenderedPageBreak/>
              <w:t>or certifications (ie., LEED Gold or greater, Energy Star 85 or greater, or Enterprise Green Communities for multifamily buildings);</w:t>
            </w:r>
          </w:p>
          <w:p w14:paraId="4B4FE04B" w14:textId="77777777" w:rsidR="00CA64A0" w:rsidRPr="00494D8C" w:rsidRDefault="00CA64A0" w:rsidP="00E11E13">
            <w:pPr>
              <w:pStyle w:val="BulletOCAshurst"/>
              <w:rPr>
                <w:rFonts w:ascii="Times New Roman" w:hAnsi="Times New Roman"/>
              </w:rPr>
            </w:pPr>
            <w:r w:rsidRPr="00494D8C">
              <w:rPr>
                <w:rFonts w:ascii="Times New Roman" w:hAnsi="Times New Roman"/>
              </w:rPr>
              <w:t>Renewable and clean energy, including the development, transmission, construction, installation, operation, acquisition, maintenance, upgrades and associated costs relating to the following:</w:t>
            </w:r>
          </w:p>
          <w:p w14:paraId="525C8C97" w14:textId="77777777" w:rsidR="00CA64A0" w:rsidRPr="00494D8C" w:rsidRDefault="00CA64A0" w:rsidP="00E11E13">
            <w:pPr>
              <w:pStyle w:val="NormalOCAshurst"/>
              <w:ind w:left="1276" w:hanging="567"/>
            </w:pPr>
            <w:r w:rsidRPr="00494D8C">
              <w:t>–</w:t>
            </w:r>
            <w:r w:rsidRPr="00494D8C">
              <w:tab/>
              <w:t>wind energy;</w:t>
            </w:r>
          </w:p>
          <w:p w14:paraId="438A538C" w14:textId="77777777" w:rsidR="00CA64A0" w:rsidRPr="00494D8C" w:rsidRDefault="00CA64A0" w:rsidP="00E11E13">
            <w:pPr>
              <w:ind w:left="1276" w:hanging="567"/>
              <w:rPr>
                <w:rFonts w:ascii="Times New Roman" w:hAnsi="Times New Roman"/>
                <w:sz w:val="20"/>
                <w:szCs w:val="20"/>
              </w:rPr>
            </w:pPr>
            <w:r w:rsidRPr="00494D8C">
              <w:rPr>
                <w:rFonts w:ascii="Times New Roman" w:hAnsi="Times New Roman"/>
                <w:sz w:val="20"/>
                <w:szCs w:val="20"/>
              </w:rPr>
              <w:t>–</w:t>
            </w:r>
            <w:r w:rsidRPr="00494D8C">
              <w:rPr>
                <w:rFonts w:ascii="Times New Roman" w:hAnsi="Times New Roman"/>
                <w:sz w:val="20"/>
                <w:szCs w:val="20"/>
              </w:rPr>
              <w:tab/>
              <w:t>solar energy;</w:t>
            </w:r>
          </w:p>
          <w:p w14:paraId="2CB401C5" w14:textId="77777777" w:rsidR="00CA64A0" w:rsidRPr="00494D8C" w:rsidRDefault="00CA64A0" w:rsidP="00E11E13">
            <w:pPr>
              <w:pStyle w:val="NormalOCAshurst"/>
              <w:spacing w:before="240"/>
              <w:ind w:left="1276" w:hanging="567"/>
            </w:pPr>
            <w:r w:rsidRPr="00494D8C">
              <w:t>–</w:t>
            </w:r>
            <w:r w:rsidRPr="00494D8C">
              <w:tab/>
              <w:t>geothermal energy facilities with direct emissions of less than 100 grams of carbon dioxide per kilowatt-hour; and;</w:t>
            </w:r>
          </w:p>
          <w:p w14:paraId="10B4A93A" w14:textId="77777777" w:rsidR="00CA64A0" w:rsidRPr="00494D8C" w:rsidRDefault="00CA64A0" w:rsidP="00E11E13">
            <w:pPr>
              <w:spacing w:after="240"/>
              <w:ind w:left="1276" w:hanging="567"/>
              <w:rPr>
                <w:rFonts w:ascii="Times New Roman" w:hAnsi="Times New Roman"/>
                <w:sz w:val="20"/>
                <w:szCs w:val="20"/>
              </w:rPr>
            </w:pPr>
            <w:r w:rsidRPr="00494D8C">
              <w:rPr>
                <w:rFonts w:ascii="Times New Roman" w:hAnsi="Times New Roman"/>
                <w:sz w:val="20"/>
                <w:szCs w:val="20"/>
              </w:rPr>
              <w:t>–</w:t>
            </w:r>
            <w:r w:rsidRPr="00494D8C">
              <w:rPr>
                <w:rFonts w:ascii="Times New Roman" w:hAnsi="Times New Roman"/>
                <w:sz w:val="20"/>
                <w:szCs w:val="20"/>
              </w:rPr>
              <w:tab/>
              <w:t>hydrogen produced with renewable energy;</w:t>
            </w:r>
          </w:p>
          <w:p w14:paraId="7DCCD48F" w14:textId="77777777" w:rsidR="00CA64A0" w:rsidRPr="00494D8C" w:rsidRDefault="00CA64A0" w:rsidP="00E11E13">
            <w:pPr>
              <w:pStyle w:val="BulletOCAshurst"/>
              <w:rPr>
                <w:rFonts w:ascii="Times New Roman" w:hAnsi="Times New Roman"/>
              </w:rPr>
            </w:pPr>
            <w:r w:rsidRPr="00494D8C">
              <w:rPr>
                <w:rFonts w:ascii="Times New Roman" w:hAnsi="Times New Roman"/>
              </w:rPr>
              <w:t>Sustainable transportation, including:</w:t>
            </w:r>
          </w:p>
          <w:p w14:paraId="36035E85" w14:textId="77777777" w:rsidR="00CA64A0" w:rsidRPr="00494D8C" w:rsidRDefault="00CA64A0" w:rsidP="00E11E13">
            <w:pPr>
              <w:pStyle w:val="NormalOCAshurst"/>
              <w:ind w:left="1276" w:hanging="567"/>
            </w:pPr>
            <w:r w:rsidRPr="00494D8C">
              <w:t>–</w:t>
            </w:r>
            <w:r w:rsidRPr="00494D8C">
              <w:tab/>
              <w:t>vehicles with zero tailpipe emissions (e.g., electric vehicles); and;</w:t>
            </w:r>
          </w:p>
          <w:p w14:paraId="3A4DF5CC" w14:textId="77777777" w:rsidR="00CA64A0" w:rsidRPr="00494D8C" w:rsidRDefault="00CA64A0" w:rsidP="00E11E13">
            <w:pPr>
              <w:spacing w:after="240"/>
              <w:ind w:left="1276" w:hanging="567"/>
              <w:rPr>
                <w:rFonts w:ascii="Times New Roman" w:hAnsi="Times New Roman"/>
                <w:sz w:val="20"/>
                <w:szCs w:val="20"/>
              </w:rPr>
            </w:pPr>
            <w:r w:rsidRPr="00494D8C">
              <w:rPr>
                <w:rFonts w:ascii="Times New Roman" w:hAnsi="Times New Roman"/>
                <w:sz w:val="20"/>
                <w:szCs w:val="20"/>
              </w:rPr>
              <w:t>–</w:t>
            </w:r>
            <w:r w:rsidRPr="00494D8C">
              <w:rPr>
                <w:rFonts w:ascii="Times New Roman" w:hAnsi="Times New Roman"/>
                <w:sz w:val="20"/>
                <w:szCs w:val="20"/>
              </w:rPr>
              <w:tab/>
              <w:t>clean mass transportation (i.e., less than 50 grams of carbon dioxide per passenger-</w:t>
            </w:r>
            <w:proofErr w:type="spellStart"/>
            <w:r w:rsidRPr="00494D8C">
              <w:rPr>
                <w:rFonts w:ascii="Times New Roman" w:hAnsi="Times New Roman"/>
                <w:sz w:val="20"/>
                <w:szCs w:val="20"/>
              </w:rPr>
              <w:t>kilometer</w:t>
            </w:r>
            <w:proofErr w:type="spellEnd"/>
            <w:r w:rsidRPr="00494D8C">
              <w:rPr>
                <w:rFonts w:ascii="Times New Roman" w:hAnsi="Times New Roman"/>
                <w:sz w:val="20"/>
                <w:szCs w:val="20"/>
              </w:rPr>
              <w:t>).]</w:t>
            </w:r>
          </w:p>
          <w:p w14:paraId="5BDB7903" w14:textId="77777777" w:rsidR="00CA64A0" w:rsidRPr="00494D8C" w:rsidRDefault="00CA64A0" w:rsidP="00E11E13">
            <w:pPr>
              <w:pStyle w:val="NormalOCAshurst"/>
              <w:rPr>
                <w:i/>
                <w:iCs/>
              </w:rPr>
            </w:pPr>
            <w:r w:rsidRPr="00494D8C">
              <w:t>[</w:t>
            </w:r>
            <w:r w:rsidRPr="00494D8C">
              <w:rPr>
                <w:i/>
                <w:iCs/>
              </w:rPr>
              <w:t>Eligible Social Projects</w:t>
            </w:r>
          </w:p>
          <w:p w14:paraId="0DBE4322" w14:textId="77777777" w:rsidR="00CA64A0" w:rsidRPr="00494D8C" w:rsidRDefault="00CA64A0" w:rsidP="00E11E13">
            <w:pPr>
              <w:pStyle w:val="BulletOCAshurst"/>
              <w:rPr>
                <w:rFonts w:ascii="Times New Roman" w:hAnsi="Times New Roman"/>
              </w:rPr>
            </w:pPr>
            <w:r w:rsidRPr="00494D8C">
              <w:rPr>
                <w:rFonts w:ascii="Times New Roman" w:hAnsi="Times New Roman"/>
              </w:rPr>
              <w:t>Small Business, including:</w:t>
            </w:r>
          </w:p>
          <w:p w14:paraId="57221710" w14:textId="77777777" w:rsidR="00CA64A0" w:rsidRPr="00494D8C" w:rsidRDefault="00CA64A0" w:rsidP="00E11E13">
            <w:pPr>
              <w:pStyle w:val="NormalOCAshurst"/>
              <w:ind w:left="1276" w:hanging="567"/>
            </w:pPr>
            <w:r w:rsidRPr="00494D8C">
              <w:t>–</w:t>
            </w:r>
            <w:r w:rsidRPr="00494D8C">
              <w:tab/>
              <w:t>small businesses in low- and moderate-income ("</w:t>
            </w:r>
            <w:proofErr w:type="spellStart"/>
            <w:r w:rsidRPr="00494D8C">
              <w:rPr>
                <w:b/>
                <w:bCs/>
              </w:rPr>
              <w:t>LMI</w:t>
            </w:r>
            <w:proofErr w:type="spellEnd"/>
            <w:r w:rsidRPr="00494D8C">
              <w:t>") and/or majority Black, Hispanic and Latino census tracts, each as defined by the U.S. Bureau of the Census in the most recent decennial census;</w:t>
            </w:r>
          </w:p>
          <w:p w14:paraId="51DBA4FE" w14:textId="77777777" w:rsidR="00CA64A0" w:rsidRPr="00494D8C" w:rsidRDefault="00CA64A0" w:rsidP="00E11E13">
            <w:pPr>
              <w:pStyle w:val="BulletOCAshurst"/>
              <w:rPr>
                <w:rFonts w:ascii="Times New Roman" w:hAnsi="Times New Roman"/>
              </w:rPr>
            </w:pPr>
            <w:r w:rsidRPr="00494D8C">
              <w:rPr>
                <w:rFonts w:ascii="Times New Roman" w:hAnsi="Times New Roman"/>
              </w:rPr>
              <w:t>Affordable Housing, including:</w:t>
            </w:r>
          </w:p>
          <w:p w14:paraId="7255787D" w14:textId="77777777" w:rsidR="00CA64A0" w:rsidRPr="00494D8C" w:rsidRDefault="00CA64A0" w:rsidP="00E11E13">
            <w:pPr>
              <w:pStyle w:val="NormalOCAshurst"/>
              <w:ind w:left="1276" w:hanging="567"/>
            </w:pPr>
            <w:r w:rsidRPr="00494D8C">
              <w:t>–</w:t>
            </w:r>
            <w:r w:rsidRPr="00494D8C">
              <w:tab/>
              <w:t>multi-family rentals subject to certain government restrictions (i.e., Low-Income Housing Tax Credit or Section 8 Housing Assistance Program contracts); and/or</w:t>
            </w:r>
          </w:p>
          <w:p w14:paraId="53FC59E8" w14:textId="77777777" w:rsidR="00CA64A0" w:rsidRPr="00494D8C" w:rsidRDefault="00CA64A0" w:rsidP="00E11E13">
            <w:pPr>
              <w:pStyle w:val="NormalOCAshurst"/>
              <w:ind w:left="1276" w:hanging="567"/>
            </w:pPr>
            <w:r w:rsidRPr="00494D8C">
              <w:t>–</w:t>
            </w:r>
            <w:r w:rsidRPr="00494D8C">
              <w:tab/>
              <w:t>projects where a majority of the project's units are affordable to, reserved for or restricted to individuals who earn under 80% of the Area Median Income ("</w:t>
            </w:r>
            <w:r w:rsidRPr="00494D8C">
              <w:rPr>
                <w:b/>
                <w:bCs/>
              </w:rPr>
              <w:t>AMI</w:t>
            </w:r>
            <w:r w:rsidRPr="00494D8C">
              <w:t>") or under 120% of the AMI for properties located in a high-cost area, as defined by the U.S. Department of Housing and Urban Development;</w:t>
            </w:r>
          </w:p>
          <w:p w14:paraId="1311F4EC" w14:textId="77777777" w:rsidR="00CA64A0" w:rsidRPr="00494D8C" w:rsidRDefault="00CA64A0" w:rsidP="00E11E13">
            <w:pPr>
              <w:pStyle w:val="BulletOCAshurst"/>
              <w:rPr>
                <w:rFonts w:ascii="Times New Roman" w:hAnsi="Times New Roman"/>
              </w:rPr>
            </w:pPr>
            <w:r w:rsidRPr="00494D8C">
              <w:rPr>
                <w:rFonts w:ascii="Times New Roman" w:hAnsi="Times New Roman"/>
              </w:rPr>
              <w:t>Home Ownership, including:</w:t>
            </w:r>
          </w:p>
          <w:p w14:paraId="32EDBAD5" w14:textId="77777777" w:rsidR="00CA64A0" w:rsidRPr="00494D8C" w:rsidRDefault="00CA64A0" w:rsidP="00E11E13">
            <w:pPr>
              <w:pStyle w:val="NormalOCAshurst"/>
              <w:ind w:left="1276" w:hanging="567"/>
            </w:pPr>
            <w:r w:rsidRPr="00494D8C">
              <w:t>–</w:t>
            </w:r>
            <w:r w:rsidRPr="00494D8C">
              <w:tab/>
              <w:t xml:space="preserve">home purchase and refinance loans to </w:t>
            </w:r>
            <w:proofErr w:type="spellStart"/>
            <w:r w:rsidRPr="00494D8C">
              <w:t>LMI</w:t>
            </w:r>
            <w:proofErr w:type="spellEnd"/>
            <w:r w:rsidRPr="00494D8C">
              <w:t xml:space="preserve"> customers and/or Black, Hispanic and Latino borrowers or co-borrowers based on data collected under the Home Mortgage Data Act (</w:t>
            </w:r>
            <w:proofErr w:type="spellStart"/>
            <w:r w:rsidRPr="00494D8C">
              <w:t>HMDA</w:t>
            </w:r>
            <w:proofErr w:type="spellEnd"/>
            <w:r w:rsidRPr="00494D8C">
              <w:t>) across all household income levels;</w:t>
            </w:r>
          </w:p>
          <w:p w14:paraId="65254096" w14:textId="77777777" w:rsidR="00CA64A0" w:rsidRPr="00494D8C" w:rsidRDefault="00CA64A0" w:rsidP="00E11E13">
            <w:pPr>
              <w:pStyle w:val="BulletOCAshurst"/>
              <w:rPr>
                <w:rFonts w:ascii="Times New Roman" w:hAnsi="Times New Roman"/>
              </w:rPr>
            </w:pPr>
            <w:r w:rsidRPr="00494D8C">
              <w:rPr>
                <w:rFonts w:ascii="Times New Roman" w:hAnsi="Times New Roman"/>
              </w:rPr>
              <w:t>Education, including:</w:t>
            </w:r>
          </w:p>
          <w:p w14:paraId="612BB812" w14:textId="77777777" w:rsidR="00CA64A0" w:rsidRPr="00494D8C" w:rsidRDefault="00CA64A0" w:rsidP="00E11E13">
            <w:pPr>
              <w:pStyle w:val="NormalOCAshurst"/>
              <w:ind w:left="1276" w:hanging="567"/>
            </w:pPr>
            <w:r w:rsidRPr="00494D8C">
              <w:t>–</w:t>
            </w:r>
            <w:r w:rsidRPr="00494D8C">
              <w:tab/>
              <w:t xml:space="preserve">projects that promote access to education in </w:t>
            </w:r>
            <w:proofErr w:type="spellStart"/>
            <w:r w:rsidRPr="00494D8C">
              <w:t>LMI</w:t>
            </w:r>
            <w:proofErr w:type="spellEnd"/>
            <w:r w:rsidRPr="00494D8C">
              <w:t xml:space="preserve"> geographies, such as education-related non-profit or public sector organisations that provide services regardless of ability to pay; or </w:t>
            </w:r>
          </w:p>
          <w:p w14:paraId="654174DC" w14:textId="77777777" w:rsidR="00CA64A0" w:rsidRPr="00494D8C" w:rsidRDefault="00CA64A0" w:rsidP="00E11E13">
            <w:pPr>
              <w:pStyle w:val="BulletOCAshurst"/>
              <w:rPr>
                <w:rFonts w:ascii="Times New Roman" w:hAnsi="Times New Roman"/>
              </w:rPr>
            </w:pPr>
            <w:r w:rsidRPr="00494D8C">
              <w:rPr>
                <w:rFonts w:ascii="Times New Roman" w:hAnsi="Times New Roman"/>
              </w:rPr>
              <w:t>Healthcare, including:</w:t>
            </w:r>
          </w:p>
          <w:p w14:paraId="1B2D1276" w14:textId="77777777" w:rsidR="00CA64A0" w:rsidRPr="00494D8C" w:rsidRDefault="00CA64A0" w:rsidP="00E11E13">
            <w:pPr>
              <w:pStyle w:val="NormalOCAshurst"/>
              <w:ind w:left="1276" w:hanging="567"/>
            </w:pPr>
            <w:r w:rsidRPr="00494D8C">
              <w:lastRenderedPageBreak/>
              <w:t>–</w:t>
            </w:r>
            <w:r w:rsidRPr="00494D8C">
              <w:tab/>
              <w:t xml:space="preserve">projects that promote access to healthcare in </w:t>
            </w:r>
            <w:proofErr w:type="spellStart"/>
            <w:r w:rsidRPr="00494D8C">
              <w:t>LMI</w:t>
            </w:r>
            <w:proofErr w:type="spellEnd"/>
            <w:r w:rsidRPr="00494D8C">
              <w:t xml:space="preserve"> geographies, such as healthcare-related non-profit or public sector organizations that provide services regardless of ability to pay.]</w:t>
            </w:r>
          </w:p>
          <w:p w14:paraId="2B29F9FB" w14:textId="77777777" w:rsidR="00CA64A0" w:rsidRPr="00494D8C" w:rsidRDefault="00CA64A0" w:rsidP="00E11E13">
            <w:pPr>
              <w:pStyle w:val="NormalOCAshurst"/>
            </w:pPr>
            <w:r w:rsidRPr="00494D8C">
              <w:t>An amount equal to the net proceeds from the issuance of the Securities will be allocated to fund the Eligible Projects included in the Sustainable Asset Portfolio (i.e., on a portfolio basis) or, pending allocation, invested temporarily in cash, cash equivalents and/or other high quality liquid assets.</w:t>
            </w:r>
          </w:p>
          <w:p w14:paraId="0467E61B" w14:textId="77777777" w:rsidR="00CA64A0" w:rsidRPr="00494D8C" w:rsidRDefault="00CA64A0" w:rsidP="00E11E13">
            <w:pPr>
              <w:pStyle w:val="NormalOCAshurst"/>
            </w:pPr>
            <w:r w:rsidRPr="00494D8C">
              <w:t>On an annual basis, JPMorgan Chase intends to prepare and make publicly available a report that will describe its allocation of the net proceeds of all outstanding Sustainable Securities, including any new issuances since its last report, to Eligible Projects within the Sustainable Asset Portfolio.</w:t>
            </w:r>
          </w:p>
          <w:p w14:paraId="20F35E12" w14:textId="77777777" w:rsidR="00CA64A0" w:rsidRPr="00494D8C" w:rsidRDefault="00CA64A0" w:rsidP="00E11E13">
            <w:pPr>
              <w:pStyle w:val="NormalOCAshurst"/>
            </w:pPr>
            <w:r w:rsidRPr="00494D8C">
              <w:t>[JPMorgan Chase intends for the issuance of the Securities to be aligned with the International Capital Market Association (ICMA) [Green Bond Principles (as updated in June 2021)]/[Social Bond Principles (as updated in June 2021)]/[Sustainability Bond Guidelines (as updated in June 2021)] as at the issue date of the Securities.]</w:t>
            </w:r>
          </w:p>
          <w:p w14:paraId="336C9E39" w14:textId="3FF45730" w:rsidR="00CA64A0" w:rsidRPr="00494D8C" w:rsidRDefault="00CA64A0" w:rsidP="00E11E13">
            <w:pPr>
              <w:pStyle w:val="NormalOCAshurst"/>
            </w:pPr>
            <w:r w:rsidRPr="00494D8C">
              <w:t>[[</w:t>
            </w:r>
            <w:proofErr w:type="spellStart"/>
            <w:r w:rsidRPr="00494D8C">
              <w:t>Sustainalytics</w:t>
            </w:r>
            <w:proofErr w:type="spellEnd"/>
            <w:r w:rsidRPr="00494D8C">
              <w:t>]/[</w:t>
            </w:r>
            <w:r w:rsidRPr="00494D8C">
              <w:rPr>
                <w:i/>
                <w:iCs/>
              </w:rPr>
              <w:t>specify provider</w:t>
            </w:r>
            <w:r w:rsidRPr="00494D8C">
              <w:t>] has provided a second party opinion in which it has stated its opinion that the Sustainable Bond Framework aligns with the International Capital Market Association (ICMA) [Green Bond Principles (as updated in June 2021)]/[and]/[Social Bond Principles (as updated in June 2021)]/[and]/[Sustainability Bond Guidelines (as updated in June 2021)] (available at [</w:t>
            </w:r>
            <w:hyperlink r:id="rId15" w:history="1">
              <w:r w:rsidRPr="00494D8C">
                <w:rPr>
                  <w:rStyle w:val="Hyperlink"/>
                  <w:rFonts w:ascii="Times New Roman" w:hAnsi="Times New Roman" w:cs="Times New Roman"/>
                  <w:szCs w:val="20"/>
                </w:rPr>
                <w:t>https://www.sustainalytics.com/corporate-solutions/sustainable-finance-and-lending/published-projects/project/jpmorgan-chase-co/jpmorgan-chase-co.-sustainable-bond-framework-second-party-opinion-(2022)/jpmorgan-chase-co.-sustainable-bond-framework-second-party-opinion-(2022)</w:t>
              </w:r>
            </w:hyperlink>
            <w:r w:rsidRPr="00494D8C">
              <w:t xml:space="preserve"> (or any successor website)]/[</w:t>
            </w:r>
            <w:r w:rsidRPr="00494D8C">
              <w:rPr>
                <w:i/>
                <w:iCs/>
              </w:rPr>
              <w:t>specify website</w:t>
            </w:r>
            <w:r w:rsidRPr="00494D8C">
              <w:t>]).] Any such opinion is solely in relation to the proposed use of proceeds under the terms of the Sustainable Bond Framework and does not apply in respect of the terms of the Securities. Any such opinion is only current as of the date it was issued and is not, nor should be deemed to be, a recommendation by the Issuer, the Dealer(s) or any other person to buy, sell or hold the Securities. The second party opinion does not form part of, is not incorporated in (whether in whole or in part), and shall not be deemed to be part of or incorporated in (whether in whole or in part), this Pricing Supplement or the Offering Circular.]</w:t>
            </w:r>
          </w:p>
          <w:p w14:paraId="68FEC7B2" w14:textId="77777777" w:rsidR="00CA64A0" w:rsidRPr="00494D8C" w:rsidRDefault="00CA64A0" w:rsidP="00E11E13">
            <w:pPr>
              <w:pStyle w:val="NormalOCAshurst"/>
            </w:pPr>
            <w:r w:rsidRPr="00494D8C">
              <w:t>(</w:t>
            </w:r>
            <w:r w:rsidRPr="00494D8C">
              <w:rPr>
                <w:i/>
                <w:iCs/>
              </w:rPr>
              <w:t>Include further or other particulars for Green Securities, Social Securities or Sustainability Securities (as applicable) if different from the above</w:t>
            </w:r>
            <w:r w:rsidRPr="00494D8C">
              <w:t>)]</w:t>
            </w:r>
            <w:bookmarkEnd w:id="1"/>
          </w:p>
        </w:tc>
      </w:tr>
      <w:tr w:rsidR="00CA64A0" w:rsidRPr="00494D8C" w14:paraId="25F65A3F" w14:textId="77777777" w:rsidTr="00232ED9">
        <w:tc>
          <w:tcPr>
            <w:tcW w:w="712" w:type="dxa"/>
          </w:tcPr>
          <w:p w14:paraId="5D6B38F3" w14:textId="77777777" w:rsidR="00CA64A0" w:rsidRPr="00494D8C" w:rsidRDefault="00CA64A0" w:rsidP="00E11E13">
            <w:pPr>
              <w:pStyle w:val="NormalOCAshurst"/>
            </w:pPr>
            <w:r w:rsidRPr="00494D8C">
              <w:lastRenderedPageBreak/>
              <w:t>[(ii)</w:t>
            </w:r>
          </w:p>
        </w:tc>
        <w:tc>
          <w:tcPr>
            <w:tcW w:w="1543" w:type="dxa"/>
          </w:tcPr>
          <w:p w14:paraId="7574A8A0" w14:textId="77777777" w:rsidR="00CA64A0" w:rsidRPr="00494D8C" w:rsidRDefault="00CA64A0" w:rsidP="00E11E13">
            <w:pPr>
              <w:pStyle w:val="NormalOCAshurst"/>
            </w:pPr>
            <w:r w:rsidRPr="00494D8C">
              <w:t>Estimated net proceeds:</w:t>
            </w:r>
          </w:p>
        </w:tc>
        <w:tc>
          <w:tcPr>
            <w:tcW w:w="6772" w:type="dxa"/>
          </w:tcPr>
          <w:p w14:paraId="177606FA" w14:textId="77777777" w:rsidR="00CA64A0" w:rsidRPr="00494D8C" w:rsidRDefault="00CA64A0" w:rsidP="00E11E13">
            <w:pPr>
              <w:pStyle w:val="NormalOCAshurst"/>
            </w:pPr>
            <w:r w:rsidRPr="00494D8C">
              <w:t>[Not Applicable/[</w:t>
            </w:r>
            <w:r w:rsidRPr="00494D8C">
              <w:fldChar w:fldCharType="begin"/>
            </w:r>
            <w:r w:rsidRPr="00494D8C">
              <w:instrText xml:space="preserve"> SYMBOL 108\f wingdings \s8\h \* MERGEFORMAT </w:instrText>
            </w:r>
            <w:r w:rsidRPr="00494D8C">
              <w:fldChar w:fldCharType="end"/>
            </w:r>
            <w:r w:rsidRPr="00494D8C">
              <w:t>]]</w:t>
            </w:r>
          </w:p>
        </w:tc>
      </w:tr>
      <w:tr w:rsidR="00CA64A0" w:rsidRPr="00494D8C" w14:paraId="37D1B836" w14:textId="77777777" w:rsidTr="00232ED9">
        <w:tc>
          <w:tcPr>
            <w:tcW w:w="712" w:type="dxa"/>
          </w:tcPr>
          <w:p w14:paraId="76F0E9EA" w14:textId="77777777" w:rsidR="00CA64A0" w:rsidRPr="00494D8C" w:rsidRDefault="00CA64A0" w:rsidP="00E11E13">
            <w:pPr>
              <w:pStyle w:val="NormalOCAshurst"/>
            </w:pPr>
          </w:p>
        </w:tc>
        <w:tc>
          <w:tcPr>
            <w:tcW w:w="1543" w:type="dxa"/>
          </w:tcPr>
          <w:p w14:paraId="134ABDB5" w14:textId="77777777" w:rsidR="00CA64A0" w:rsidRPr="00494D8C" w:rsidRDefault="00CA64A0" w:rsidP="00E11E13">
            <w:pPr>
              <w:pStyle w:val="NormalOCAshurst"/>
            </w:pPr>
          </w:p>
        </w:tc>
        <w:tc>
          <w:tcPr>
            <w:tcW w:w="6772" w:type="dxa"/>
          </w:tcPr>
          <w:p w14:paraId="355C7A6F" w14:textId="77777777" w:rsidR="00CA64A0" w:rsidRPr="00494D8C" w:rsidRDefault="00CA64A0" w:rsidP="00E11E13">
            <w:pPr>
              <w:pStyle w:val="NormalOCAshurst"/>
            </w:pPr>
            <w:r w:rsidRPr="00494D8C">
              <w:t>(</w:t>
            </w:r>
            <w:r w:rsidRPr="00494D8C">
              <w:rPr>
                <w:i/>
              </w:rPr>
              <w:t>If proceeds are intended for more than one use will need to split out and present in order of priority. If proceeds insufficient to fund all proposed uses state amount and sources of other funding. Include if reasons for issue are set out above</w:t>
            </w:r>
            <w:r w:rsidRPr="00494D8C">
              <w:t>)]</w:t>
            </w:r>
          </w:p>
        </w:tc>
      </w:tr>
      <w:tr w:rsidR="00CA64A0" w:rsidRPr="00494D8C" w14:paraId="50BA05F2" w14:textId="77777777" w:rsidTr="00232ED9">
        <w:tc>
          <w:tcPr>
            <w:tcW w:w="712" w:type="dxa"/>
          </w:tcPr>
          <w:p w14:paraId="0394B8D3" w14:textId="77777777" w:rsidR="00CA64A0" w:rsidRPr="00494D8C" w:rsidRDefault="00CA64A0" w:rsidP="00E11E13">
            <w:pPr>
              <w:pStyle w:val="NormalOCAshurst"/>
            </w:pPr>
            <w:r w:rsidRPr="00494D8C">
              <w:t>[(iii)</w:t>
            </w:r>
          </w:p>
        </w:tc>
        <w:tc>
          <w:tcPr>
            <w:tcW w:w="1543" w:type="dxa"/>
          </w:tcPr>
          <w:p w14:paraId="7B833BE2" w14:textId="77777777" w:rsidR="00CA64A0" w:rsidRPr="00494D8C" w:rsidRDefault="00CA64A0" w:rsidP="00E11E13">
            <w:pPr>
              <w:pStyle w:val="NormalOCAshurst"/>
            </w:pPr>
            <w:r w:rsidRPr="00494D8C">
              <w:t>Estimated total expenses:</w:t>
            </w:r>
          </w:p>
        </w:tc>
        <w:tc>
          <w:tcPr>
            <w:tcW w:w="6772" w:type="dxa"/>
          </w:tcPr>
          <w:p w14:paraId="749D4702" w14:textId="54AC9F37" w:rsidR="00CA64A0" w:rsidRPr="00494D8C" w:rsidRDefault="00CA64A0" w:rsidP="00E11E13">
            <w:pPr>
              <w:pStyle w:val="NormalOCAshurst"/>
            </w:pPr>
            <w:r w:rsidRPr="00494D8C">
              <w:t>[Not Applicable/[</w:t>
            </w:r>
            <w:r w:rsidRPr="00494D8C">
              <w:fldChar w:fldCharType="begin"/>
            </w:r>
            <w:r w:rsidRPr="00494D8C">
              <w:instrText xml:space="preserve"> SYMBOL 108\f wingdings \s8\h \* MERGEFORMAT </w:instrText>
            </w:r>
            <w:r w:rsidRPr="00494D8C">
              <w:fldChar w:fldCharType="end"/>
            </w:r>
            <w:r w:rsidRPr="00494D8C">
              <w:t>]]</w:t>
            </w:r>
            <w:r w:rsidR="008C4ECF" w:rsidRPr="00494D8C">
              <w:rPr>
                <w:vertAlign w:val="superscript"/>
              </w:rPr>
              <w:t>62</w:t>
            </w:r>
            <w:r w:rsidRPr="00494D8C">
              <w:t xml:space="preserve"> (</w:t>
            </w:r>
            <w:r w:rsidRPr="00494D8C">
              <w:rPr>
                <w:i/>
              </w:rPr>
              <w:t>Include breakdown of expenses</w:t>
            </w:r>
            <w:r w:rsidRPr="00494D8C">
              <w:t>)"</w:t>
            </w:r>
          </w:p>
        </w:tc>
      </w:tr>
    </w:tbl>
    <w:p w14:paraId="64265AA6" w14:textId="77777777" w:rsidR="007E3199" w:rsidRPr="00494D8C" w:rsidRDefault="007E3199" w:rsidP="007E3199">
      <w:pPr>
        <w:pStyle w:val="NormalOCAshurst"/>
        <w:spacing w:after="0"/>
        <w:ind w:left="1134" w:hanging="567"/>
        <w:rPr>
          <w:bCs/>
        </w:rPr>
      </w:pPr>
    </w:p>
    <w:p w14:paraId="3C443448" w14:textId="18327E5C" w:rsidR="004E0AC6" w:rsidRPr="00494D8C" w:rsidRDefault="007E3199" w:rsidP="007E3199">
      <w:pPr>
        <w:pStyle w:val="NormalOCAshurst"/>
        <w:ind w:left="1134" w:hanging="567"/>
        <w:rPr>
          <w:bCs/>
          <w:sz w:val="16"/>
          <w:szCs w:val="16"/>
        </w:rPr>
      </w:pPr>
      <w:r w:rsidRPr="00494D8C">
        <w:rPr>
          <w:bCs/>
          <w:sz w:val="16"/>
          <w:szCs w:val="16"/>
          <w:vertAlign w:val="superscript"/>
        </w:rPr>
        <w:t>60</w:t>
      </w:r>
      <w:r w:rsidRPr="00494D8C">
        <w:rPr>
          <w:sz w:val="16"/>
          <w:szCs w:val="16"/>
        </w:rPr>
        <w:t xml:space="preserve"> </w:t>
      </w:r>
      <w:r w:rsidRPr="00494D8C">
        <w:rPr>
          <w:bCs/>
          <w:sz w:val="16"/>
          <w:szCs w:val="16"/>
        </w:rPr>
        <w:t xml:space="preserve">Include for Sustainable Securities issued by </w:t>
      </w:r>
      <w:proofErr w:type="spellStart"/>
      <w:r w:rsidRPr="00494D8C">
        <w:rPr>
          <w:bCs/>
          <w:sz w:val="16"/>
          <w:szCs w:val="16"/>
        </w:rPr>
        <w:t>JPMCFC</w:t>
      </w:r>
      <w:proofErr w:type="spellEnd"/>
      <w:r w:rsidRPr="00494D8C">
        <w:rPr>
          <w:bCs/>
          <w:sz w:val="16"/>
          <w:szCs w:val="16"/>
        </w:rPr>
        <w:t>.</w:t>
      </w:r>
    </w:p>
    <w:p w14:paraId="16A07CB4" w14:textId="16662A9A" w:rsidR="007E3199" w:rsidRPr="00494D8C" w:rsidRDefault="007E3199" w:rsidP="007E3199">
      <w:pPr>
        <w:pStyle w:val="NormalOCAshurst"/>
        <w:ind w:left="1134" w:hanging="567"/>
        <w:rPr>
          <w:bCs/>
          <w:sz w:val="16"/>
          <w:szCs w:val="16"/>
        </w:rPr>
      </w:pPr>
      <w:r w:rsidRPr="00494D8C">
        <w:rPr>
          <w:bCs/>
          <w:sz w:val="16"/>
          <w:szCs w:val="16"/>
          <w:vertAlign w:val="superscript"/>
        </w:rPr>
        <w:t>61</w:t>
      </w:r>
      <w:r w:rsidRPr="00494D8C">
        <w:rPr>
          <w:sz w:val="16"/>
          <w:szCs w:val="16"/>
        </w:rPr>
        <w:t xml:space="preserve"> </w:t>
      </w:r>
      <w:r w:rsidRPr="00494D8C">
        <w:rPr>
          <w:bCs/>
          <w:sz w:val="16"/>
          <w:szCs w:val="16"/>
        </w:rPr>
        <w:t xml:space="preserve">Include for Sustainable Securities issued by JPMorgan Chase &amp; Co., </w:t>
      </w:r>
      <w:proofErr w:type="spellStart"/>
      <w:r w:rsidRPr="00494D8C">
        <w:rPr>
          <w:bCs/>
          <w:sz w:val="16"/>
          <w:szCs w:val="16"/>
        </w:rPr>
        <w:t>JPMSP</w:t>
      </w:r>
      <w:proofErr w:type="spellEnd"/>
      <w:r w:rsidRPr="00494D8C">
        <w:rPr>
          <w:bCs/>
          <w:sz w:val="16"/>
          <w:szCs w:val="16"/>
        </w:rPr>
        <w:t xml:space="preserve"> or JPMorgan Chase Bank, N.A.</w:t>
      </w:r>
    </w:p>
    <w:p w14:paraId="687D1C13" w14:textId="2ACC4E66" w:rsidR="008C4ECF" w:rsidRPr="00494D8C" w:rsidRDefault="008C4ECF" w:rsidP="007E3199">
      <w:pPr>
        <w:pStyle w:val="NormalOCAshurst"/>
        <w:ind w:left="1134" w:hanging="567"/>
        <w:rPr>
          <w:bCs/>
          <w:sz w:val="16"/>
          <w:szCs w:val="16"/>
        </w:rPr>
      </w:pPr>
      <w:r w:rsidRPr="00494D8C">
        <w:rPr>
          <w:bCs/>
          <w:sz w:val="16"/>
          <w:szCs w:val="16"/>
          <w:vertAlign w:val="superscript"/>
        </w:rPr>
        <w:t>62</w:t>
      </w:r>
      <w:r w:rsidR="00736970" w:rsidRPr="00494D8C">
        <w:rPr>
          <w:bCs/>
          <w:sz w:val="16"/>
          <w:szCs w:val="16"/>
          <w:vertAlign w:val="superscript"/>
        </w:rPr>
        <w:t xml:space="preserve"> </w:t>
      </w:r>
      <w:r w:rsidRPr="00494D8C">
        <w:rPr>
          <w:bCs/>
          <w:sz w:val="16"/>
          <w:szCs w:val="16"/>
        </w:rPr>
        <w:t>Include for Securities admitted to the Official List of Euronext Dublin and to trading on its Global Exchange Market.</w:t>
      </w:r>
    </w:p>
    <w:p w14:paraId="31BC2A76" w14:textId="6F994DF3" w:rsidR="004E0AC6" w:rsidRPr="00494D8C" w:rsidRDefault="004E0AC6" w:rsidP="004E0AC6">
      <w:pPr>
        <w:pStyle w:val="NormalOCAshurst"/>
        <w:ind w:left="567" w:hanging="567"/>
        <w:rPr>
          <w:b/>
        </w:rPr>
      </w:pPr>
      <w:r w:rsidRPr="00494D8C">
        <w:rPr>
          <w:b/>
        </w:rPr>
        <w:t>(d)</w:t>
      </w:r>
      <w:r w:rsidRPr="00494D8C">
        <w:rPr>
          <w:b/>
        </w:rPr>
        <w:tab/>
        <w:t>Amendments to the section entitled Use of Proceeds</w:t>
      </w:r>
    </w:p>
    <w:p w14:paraId="48593E6D" w14:textId="627F3F08" w:rsidR="008B0951" w:rsidRPr="00494D8C" w:rsidRDefault="008B0951" w:rsidP="004E0AC6">
      <w:pPr>
        <w:pStyle w:val="NormalOCAshurst"/>
        <w:ind w:left="567" w:hanging="567"/>
        <w:rPr>
          <w:bCs/>
        </w:rPr>
      </w:pPr>
      <w:r w:rsidRPr="00494D8C">
        <w:rPr>
          <w:bCs/>
        </w:rPr>
        <w:tab/>
        <w:t xml:space="preserve">The final paragraph of the section entitled "Use of Proceeds" </w:t>
      </w:r>
      <w:r w:rsidR="00034F14" w:rsidRPr="00494D8C">
        <w:rPr>
          <w:bCs/>
        </w:rPr>
        <w:t>on</w:t>
      </w:r>
      <w:r w:rsidRPr="00494D8C">
        <w:rPr>
          <w:bCs/>
        </w:rPr>
        <w:t xml:space="preserve"> page </w:t>
      </w:r>
      <w:r w:rsidR="008E7183" w:rsidRPr="00494D8C">
        <w:rPr>
          <w:bCs/>
        </w:rPr>
        <w:t>585</w:t>
      </w:r>
      <w:r w:rsidRPr="00494D8C">
        <w:rPr>
          <w:bCs/>
        </w:rPr>
        <w:t xml:space="preserve"> of the Original </w:t>
      </w:r>
      <w:r w:rsidR="008E7183" w:rsidRPr="00494D8C">
        <w:rPr>
          <w:bCs/>
        </w:rPr>
        <w:t>Offering Circular</w:t>
      </w:r>
      <w:r w:rsidRPr="00494D8C">
        <w:rPr>
          <w:bCs/>
        </w:rPr>
        <w:t xml:space="preserve"> is deleted and replaced with the following: </w:t>
      </w:r>
    </w:p>
    <w:p w14:paraId="4B483243" w14:textId="1DE1A976" w:rsidR="004E0AC6" w:rsidRPr="00494D8C" w:rsidRDefault="00C30107" w:rsidP="00C30107">
      <w:pPr>
        <w:pStyle w:val="NormalOCAshurst"/>
        <w:ind w:left="567"/>
        <w:rPr>
          <w:bCs/>
        </w:rPr>
      </w:pPr>
      <w:r w:rsidRPr="00494D8C">
        <w:rPr>
          <w:bCs/>
        </w:rPr>
        <w:lastRenderedPageBreak/>
        <w:t>"</w:t>
      </w:r>
      <w:r w:rsidR="00B344F6" w:rsidRPr="00494D8C">
        <w:rPr>
          <w:bCs/>
        </w:rPr>
        <w:t>Notwithstanding the above, where the relevant Pricing Supplement specifies that the Securities are Green Securities, Social Securities or Sustainability Securities, as the case may be, JPMorgan Chase intends to allocate an amount equal to the net proceeds from the issuance of the Securities to fund Eligible Green Projects and/or Eligible Social Projects (as provided in the relevant Pricing Supplement), in each case as described in "</w:t>
      </w:r>
      <w:r w:rsidR="00B344F6" w:rsidRPr="00494D8C">
        <w:rPr>
          <w:bCs/>
          <w:i/>
          <w:iCs/>
        </w:rPr>
        <w:t>Information relating to Sustainable Securities</w:t>
      </w:r>
      <w:r w:rsidR="00B344F6" w:rsidRPr="00494D8C">
        <w:rPr>
          <w:bCs/>
        </w:rPr>
        <w:t>".</w:t>
      </w:r>
      <w:r w:rsidRPr="00494D8C">
        <w:rPr>
          <w:bCs/>
        </w:rPr>
        <w:t>"</w:t>
      </w:r>
    </w:p>
    <w:p w14:paraId="20CACAEF" w14:textId="647A9AFC" w:rsidR="006D2FD3" w:rsidRPr="00494D8C" w:rsidRDefault="006D2FD3" w:rsidP="006D2FD3">
      <w:pPr>
        <w:pStyle w:val="NormalOCAshurst"/>
        <w:ind w:left="567" w:hanging="567"/>
        <w:rPr>
          <w:b/>
        </w:rPr>
      </w:pPr>
      <w:r w:rsidRPr="00494D8C">
        <w:rPr>
          <w:b/>
        </w:rPr>
        <w:t>(</w:t>
      </w:r>
      <w:r w:rsidR="004E0AC6" w:rsidRPr="00494D8C">
        <w:rPr>
          <w:b/>
        </w:rPr>
        <w:t>e</w:t>
      </w:r>
      <w:r w:rsidRPr="00494D8C">
        <w:rPr>
          <w:b/>
        </w:rPr>
        <w:t>)</w:t>
      </w:r>
      <w:r w:rsidRPr="00494D8C">
        <w:rPr>
          <w:b/>
        </w:rPr>
        <w:tab/>
        <w:t xml:space="preserve">Amendments to the section entitled </w:t>
      </w:r>
      <w:r w:rsidR="00F75940" w:rsidRPr="00494D8C">
        <w:rPr>
          <w:b/>
        </w:rPr>
        <w:t>Information relating to Sustainable Securities</w:t>
      </w:r>
    </w:p>
    <w:p w14:paraId="0AEF7B06" w14:textId="1E3A7ED6" w:rsidR="00070911" w:rsidRPr="00494D8C" w:rsidRDefault="00070911" w:rsidP="00070911">
      <w:pPr>
        <w:pStyle w:val="NormalOCAshurst"/>
        <w:ind w:left="567"/>
        <w:rPr>
          <w:bCs/>
        </w:rPr>
      </w:pPr>
      <w:r w:rsidRPr="00494D8C">
        <w:rPr>
          <w:bCs/>
        </w:rPr>
        <w:t xml:space="preserve">The first three paragraphs of the section entitled "Information relating to Sustainable Securities" </w:t>
      </w:r>
      <w:r w:rsidR="00034F14" w:rsidRPr="00494D8C">
        <w:rPr>
          <w:bCs/>
        </w:rPr>
        <w:t>on</w:t>
      </w:r>
      <w:r w:rsidRPr="00494D8C">
        <w:rPr>
          <w:bCs/>
        </w:rPr>
        <w:t xml:space="preserve"> page </w:t>
      </w:r>
      <w:r w:rsidR="00034F14" w:rsidRPr="00494D8C">
        <w:rPr>
          <w:bCs/>
        </w:rPr>
        <w:t>586</w:t>
      </w:r>
      <w:r w:rsidRPr="00494D8C">
        <w:rPr>
          <w:bCs/>
        </w:rPr>
        <w:t xml:space="preserve"> of the </w:t>
      </w:r>
      <w:r w:rsidR="00034F14" w:rsidRPr="00494D8C">
        <w:rPr>
          <w:bCs/>
        </w:rPr>
        <w:t xml:space="preserve">Original Offering Circular </w:t>
      </w:r>
      <w:r w:rsidRPr="00494D8C">
        <w:rPr>
          <w:bCs/>
        </w:rPr>
        <w:t>are deleted and replaced with the following:</w:t>
      </w:r>
    </w:p>
    <w:p w14:paraId="72323E94" w14:textId="77647C58" w:rsidR="00B344F6" w:rsidRPr="00494D8C" w:rsidRDefault="00070911" w:rsidP="00070911">
      <w:pPr>
        <w:pStyle w:val="NormalOCAshurst"/>
        <w:ind w:left="567"/>
        <w:rPr>
          <w:bCs/>
        </w:rPr>
      </w:pPr>
      <w:r w:rsidRPr="00494D8C">
        <w:rPr>
          <w:bCs/>
        </w:rPr>
        <w:t>"</w:t>
      </w:r>
      <w:r w:rsidR="00B344F6" w:rsidRPr="00494D8C">
        <w:rPr>
          <w:bCs/>
        </w:rPr>
        <w:t>The relevant Pricing Supplement may specify that the Securities are Green Securities ("</w:t>
      </w:r>
      <w:r w:rsidR="00B344F6" w:rsidRPr="00494D8C">
        <w:rPr>
          <w:b/>
        </w:rPr>
        <w:t>Green Securities</w:t>
      </w:r>
      <w:r w:rsidR="00B344F6" w:rsidRPr="00494D8C">
        <w:rPr>
          <w:bCs/>
        </w:rPr>
        <w:t>"), Social Securities ("</w:t>
      </w:r>
      <w:r w:rsidR="00B344F6" w:rsidRPr="00494D8C">
        <w:rPr>
          <w:b/>
        </w:rPr>
        <w:t>Social Securities</w:t>
      </w:r>
      <w:r w:rsidR="00B344F6" w:rsidRPr="00494D8C">
        <w:rPr>
          <w:bCs/>
        </w:rPr>
        <w:t>") or Sustainability Securities ("</w:t>
      </w:r>
      <w:r w:rsidR="00B344F6" w:rsidRPr="00494D8C">
        <w:rPr>
          <w:b/>
        </w:rPr>
        <w:t>Sustainability Securities</w:t>
      </w:r>
      <w:r w:rsidR="00B344F6" w:rsidRPr="00494D8C">
        <w:rPr>
          <w:bCs/>
        </w:rPr>
        <w:t>" and, together with Green Securities and Social Securities, "</w:t>
      </w:r>
      <w:r w:rsidR="00B344F6" w:rsidRPr="00494D8C">
        <w:rPr>
          <w:b/>
        </w:rPr>
        <w:t>Sustainable Securities</w:t>
      </w:r>
      <w:r w:rsidR="00B344F6" w:rsidRPr="00494D8C">
        <w:rPr>
          <w:bCs/>
        </w:rPr>
        <w:t>"), as the case may be. JPMorgan Chase has developed a firmwide sustainability strategy, and part of this strategy includes our issuance from time to time of Sustainable Securities. Sustainable Securities are issuances by JPMorgan Chase of Securities in which case JPMorgan Chase intends to allocate an amount equal to the net proceeds from the issuance of such Sustainable Securities to fund:</w:t>
      </w:r>
    </w:p>
    <w:p w14:paraId="0C97AB34" w14:textId="77777777" w:rsidR="00B344F6" w:rsidRPr="00494D8C" w:rsidRDefault="00B344F6" w:rsidP="00070911">
      <w:pPr>
        <w:pStyle w:val="NormalOCAshurst"/>
        <w:ind w:left="1134" w:hanging="567"/>
        <w:rPr>
          <w:bCs/>
        </w:rPr>
      </w:pPr>
      <w:r w:rsidRPr="00494D8C">
        <w:rPr>
          <w:bCs/>
        </w:rPr>
        <w:t>•</w:t>
      </w:r>
      <w:r w:rsidRPr="00494D8C">
        <w:rPr>
          <w:bCs/>
        </w:rPr>
        <w:tab/>
        <w:t>in the case of Green Securities, Eligible Green Projects;</w:t>
      </w:r>
    </w:p>
    <w:p w14:paraId="318FB20C" w14:textId="77777777" w:rsidR="00B344F6" w:rsidRPr="00494D8C" w:rsidRDefault="00B344F6" w:rsidP="00070911">
      <w:pPr>
        <w:pStyle w:val="NormalOCAshurst"/>
        <w:ind w:left="1134" w:hanging="567"/>
        <w:rPr>
          <w:bCs/>
        </w:rPr>
      </w:pPr>
      <w:r w:rsidRPr="00494D8C">
        <w:rPr>
          <w:bCs/>
        </w:rPr>
        <w:t>•</w:t>
      </w:r>
      <w:r w:rsidRPr="00494D8C">
        <w:rPr>
          <w:bCs/>
        </w:rPr>
        <w:tab/>
        <w:t>in the case of Social Securities, Eligible Social Projects; and</w:t>
      </w:r>
    </w:p>
    <w:p w14:paraId="70AE4D20" w14:textId="77777777" w:rsidR="00B344F6" w:rsidRPr="00494D8C" w:rsidRDefault="00B344F6" w:rsidP="00070911">
      <w:pPr>
        <w:pStyle w:val="NormalOCAshurst"/>
        <w:ind w:left="1134" w:hanging="567"/>
        <w:rPr>
          <w:bCs/>
        </w:rPr>
      </w:pPr>
      <w:r w:rsidRPr="00494D8C">
        <w:rPr>
          <w:bCs/>
        </w:rPr>
        <w:t>•</w:t>
      </w:r>
      <w:r w:rsidRPr="00494D8C">
        <w:rPr>
          <w:bCs/>
        </w:rPr>
        <w:tab/>
        <w:t>in the case of Sustainability Securities, a combination of Eligible Green Projects and/or Eligible Social Projects (collectively, "</w:t>
      </w:r>
      <w:r w:rsidRPr="00494D8C">
        <w:rPr>
          <w:b/>
        </w:rPr>
        <w:t>Eligible Projects</w:t>
      </w:r>
      <w:r w:rsidRPr="00494D8C">
        <w:rPr>
          <w:bCs/>
        </w:rPr>
        <w:t>") (in such proportion between Eligible Green Projects and Eligible Social Projects as is determined at the discretion of JPMorgan Chase),</w:t>
      </w:r>
    </w:p>
    <w:p w14:paraId="69D1AB80" w14:textId="77777777" w:rsidR="00B344F6" w:rsidRPr="00494D8C" w:rsidRDefault="00B344F6" w:rsidP="00070911">
      <w:pPr>
        <w:pStyle w:val="NormalOCAshurst"/>
        <w:ind w:left="1134" w:hanging="567"/>
        <w:rPr>
          <w:bCs/>
        </w:rPr>
      </w:pPr>
      <w:r w:rsidRPr="00494D8C">
        <w:rPr>
          <w:bCs/>
        </w:rPr>
        <w:t>in each case on a portfolio basis, as described below.</w:t>
      </w:r>
    </w:p>
    <w:p w14:paraId="2BAD367A" w14:textId="77777777" w:rsidR="00B344F6" w:rsidRPr="00494D8C" w:rsidRDefault="00B344F6" w:rsidP="00070911">
      <w:pPr>
        <w:pStyle w:val="NormalOCAshurst"/>
        <w:ind w:left="567"/>
        <w:rPr>
          <w:bCs/>
        </w:rPr>
      </w:pPr>
      <w:r w:rsidRPr="00494D8C">
        <w:rPr>
          <w:bCs/>
        </w:rPr>
        <w:t>For purposes of such allocation, Eligible Projects include projects for which JPMorgan Chase disburses funds up to 24 months prior to the issuance of the relevant Securities. Any payment on the Securities will not be directly linked to the performance, maturity or termination of any Eligible Projects.</w:t>
      </w:r>
    </w:p>
    <w:p w14:paraId="41DCDF5A" w14:textId="11098D0A" w:rsidR="00F75940" w:rsidRPr="00494D8C" w:rsidRDefault="00B344F6" w:rsidP="00070911">
      <w:pPr>
        <w:pStyle w:val="NormalOCAshurst"/>
        <w:ind w:left="567"/>
        <w:rPr>
          <w:bCs/>
        </w:rPr>
      </w:pPr>
      <w:r w:rsidRPr="00494D8C">
        <w:rPr>
          <w:bCs/>
        </w:rPr>
        <w:t>Sustainable Securities will be issued pursuant to the terms of JPMorgan Chase's Sustainable Bond Framework (the "</w:t>
      </w:r>
      <w:r w:rsidRPr="00494D8C">
        <w:rPr>
          <w:b/>
        </w:rPr>
        <w:t>Sustainable Bond Framework</w:t>
      </w:r>
      <w:r w:rsidRPr="00494D8C">
        <w:rPr>
          <w:bCs/>
        </w:rPr>
        <w:t>"). The below description is based on the Sustainable Bond Framework as at the date of this Offering Circular; however, JPMorgan Chase anticipates that it will periodically review the Sustainable Bond Framework in light of evolving market practices and applicable guidelines and, therefore, it is subject to change. Potential investors in Sustainable Securities should ensure to review the latest version of the Sustainable Bond Framework and the applicable Pricing Supplement for information on the use of proceeds of the relevant Sustainable Securities.</w:t>
      </w:r>
      <w:r w:rsidR="00070911" w:rsidRPr="00494D8C">
        <w:rPr>
          <w:bCs/>
        </w:rPr>
        <w:t>"</w:t>
      </w:r>
    </w:p>
    <w:p w14:paraId="2A6FEAD7" w14:textId="2862BBDB" w:rsidR="00931EFD" w:rsidRPr="00494D8C" w:rsidRDefault="00931EFD" w:rsidP="00931EFD">
      <w:pPr>
        <w:pStyle w:val="NormalOCAshurst"/>
        <w:ind w:left="567" w:hanging="567"/>
        <w:rPr>
          <w:b/>
        </w:rPr>
      </w:pPr>
      <w:bookmarkStart w:id="3" w:name="_Hlk138430827"/>
      <w:r w:rsidRPr="00494D8C">
        <w:rPr>
          <w:b/>
        </w:rPr>
        <w:t>(f)</w:t>
      </w:r>
      <w:r w:rsidRPr="00494D8C">
        <w:rPr>
          <w:b/>
        </w:rPr>
        <w:tab/>
        <w:t>Amendments to the section entitled Purchaser Representations and Requirements and Transfer Restrictions</w:t>
      </w:r>
    </w:p>
    <w:p w14:paraId="2290F227" w14:textId="1446AA59" w:rsidR="00931EFD" w:rsidRPr="00494D8C" w:rsidRDefault="00931EFD" w:rsidP="00931EFD">
      <w:pPr>
        <w:pStyle w:val="NormalOCAshurst"/>
        <w:ind w:left="567"/>
        <w:rPr>
          <w:bCs/>
        </w:rPr>
      </w:pPr>
      <w:r w:rsidRPr="00494D8C">
        <w:rPr>
          <w:bCs/>
        </w:rPr>
        <w:t>The section entitled "Purchaser Representations and Requirements and Transfer Restrictions" shall be amended by inserting the following new sub-paragraph immediately after the sub-paragraph entitled "Transfers of Swiss Certificates (UBS-cleared)" on page 672 of the Original Offering Circular:</w:t>
      </w:r>
    </w:p>
    <w:p w14:paraId="027FAC95" w14:textId="530ADF68" w:rsidR="00931EFD" w:rsidRPr="00494D8C" w:rsidRDefault="00931EFD" w:rsidP="00931EFD">
      <w:pPr>
        <w:pStyle w:val="NormalOCAshurst"/>
        <w:ind w:left="567"/>
        <w:rPr>
          <w:b/>
          <w:iCs/>
        </w:rPr>
      </w:pPr>
      <w:r w:rsidRPr="00494D8C">
        <w:rPr>
          <w:bCs/>
        </w:rPr>
        <w:t>"</w:t>
      </w:r>
      <w:r w:rsidRPr="00494D8C">
        <w:rPr>
          <w:b/>
          <w:iCs/>
        </w:rPr>
        <w:t xml:space="preserve">Representations relating to certain Securities issued by </w:t>
      </w:r>
      <w:proofErr w:type="spellStart"/>
      <w:r w:rsidRPr="00494D8C">
        <w:rPr>
          <w:b/>
          <w:iCs/>
        </w:rPr>
        <w:t>JPMCFC</w:t>
      </w:r>
      <w:proofErr w:type="spellEnd"/>
      <w:r w:rsidRPr="00494D8C">
        <w:rPr>
          <w:b/>
          <w:iCs/>
        </w:rPr>
        <w:t xml:space="preserve">, </w:t>
      </w:r>
      <w:proofErr w:type="spellStart"/>
      <w:r w:rsidRPr="00494D8C">
        <w:rPr>
          <w:b/>
          <w:iCs/>
        </w:rPr>
        <w:t>JPMCC</w:t>
      </w:r>
      <w:proofErr w:type="spellEnd"/>
      <w:r w:rsidRPr="00494D8C">
        <w:rPr>
          <w:b/>
          <w:iCs/>
        </w:rPr>
        <w:t xml:space="preserve"> or </w:t>
      </w:r>
      <w:proofErr w:type="spellStart"/>
      <w:r w:rsidRPr="00494D8C">
        <w:rPr>
          <w:b/>
          <w:iCs/>
        </w:rPr>
        <w:t>JPMCB</w:t>
      </w:r>
      <w:proofErr w:type="spellEnd"/>
    </w:p>
    <w:p w14:paraId="367465BE" w14:textId="5BA98E39" w:rsidR="00931EFD" w:rsidRPr="00494D8C" w:rsidRDefault="00931EFD" w:rsidP="00931EFD">
      <w:pPr>
        <w:pStyle w:val="NormalOCAshurst"/>
        <w:ind w:left="567"/>
        <w:rPr>
          <w:bCs/>
          <w:iCs/>
        </w:rPr>
      </w:pPr>
      <w:r w:rsidRPr="00494D8C">
        <w:rPr>
          <w:bCs/>
          <w:iCs/>
        </w:rPr>
        <w:t xml:space="preserve">Where </w:t>
      </w:r>
      <w:r w:rsidR="00B26DCD" w:rsidRPr="00494D8C">
        <w:rPr>
          <w:bCs/>
          <w:iCs/>
        </w:rPr>
        <w:t>specified in the relevant Pricing Supplement</w:t>
      </w:r>
      <w:r w:rsidRPr="00494D8C">
        <w:rPr>
          <w:bCs/>
          <w:iCs/>
        </w:rPr>
        <w:t>, the Securities are not intended to be offered, sold or otherwise made available to and should not be offered, sold or otherwise made available to any investor that is tax resident in a country that does not have a tax treaty in place with the United States pursuant to which amounts payable under the Securities shall be exempt from U.S. withholding tax under the "other income" article or similar provision. You are deemed to represent to each of the Issuer, the Guarantor (if applicable) and the Dealer that, you (and any ultimate purchaser) will, upon request by, or on behalf of, the Issuer or an applicable withholding agent, furnish to the Issuer or applicable withholding agent, a properly completed IRS Form W-9 or, in the case of a person that is not a "United States person" as defined in Section 7701(a)(30) of the U.S. Internal Revenue Code, IRS Form W-</w:t>
      </w:r>
      <w:proofErr w:type="spellStart"/>
      <w:r w:rsidRPr="00494D8C">
        <w:rPr>
          <w:bCs/>
          <w:iCs/>
        </w:rPr>
        <w:t>8BEN</w:t>
      </w:r>
      <w:proofErr w:type="spellEnd"/>
      <w:r w:rsidRPr="00494D8C">
        <w:rPr>
          <w:bCs/>
          <w:iCs/>
        </w:rPr>
        <w:t>-E establishing an exemption from U.S. withholding tax on amounts payable under the Securities pursuant to the "other income" article or similar provision of an applicable treaty with the United States."</w:t>
      </w:r>
    </w:p>
    <w:p w14:paraId="382F63D6" w14:textId="675A4A51" w:rsidR="00902962" w:rsidRPr="00494D8C" w:rsidRDefault="00902962" w:rsidP="00902962">
      <w:pPr>
        <w:pStyle w:val="NormalOCAshurst"/>
        <w:ind w:left="567" w:hanging="567"/>
        <w:rPr>
          <w:b/>
        </w:rPr>
      </w:pPr>
      <w:r w:rsidRPr="00494D8C">
        <w:rPr>
          <w:b/>
        </w:rPr>
        <w:lastRenderedPageBreak/>
        <w:t>(</w:t>
      </w:r>
      <w:r w:rsidR="00931EFD" w:rsidRPr="00494D8C">
        <w:rPr>
          <w:b/>
        </w:rPr>
        <w:t>g</w:t>
      </w:r>
      <w:r w:rsidRPr="00494D8C">
        <w:rPr>
          <w:b/>
        </w:rPr>
        <w:t>)</w:t>
      </w:r>
      <w:r w:rsidRPr="00494D8C">
        <w:rPr>
          <w:b/>
        </w:rPr>
        <w:tab/>
        <w:t>Amendments to the section entitled Taxation</w:t>
      </w:r>
    </w:p>
    <w:p w14:paraId="326ED40D" w14:textId="6F2147ED" w:rsidR="00E41381" w:rsidRPr="00494D8C" w:rsidRDefault="00E41381" w:rsidP="00E41381">
      <w:pPr>
        <w:pStyle w:val="NormalOCAshurst"/>
        <w:ind w:left="567" w:hanging="567"/>
        <w:rPr>
          <w:bCs/>
        </w:rPr>
      </w:pPr>
      <w:r w:rsidRPr="00494D8C">
        <w:rPr>
          <w:bCs/>
        </w:rPr>
        <w:tab/>
        <w:t>The</w:t>
      </w:r>
      <w:r w:rsidR="009527F8" w:rsidRPr="00494D8C">
        <w:rPr>
          <w:bCs/>
        </w:rPr>
        <w:t xml:space="preserve"> sub-</w:t>
      </w:r>
      <w:r w:rsidRPr="00494D8C">
        <w:rPr>
          <w:bCs/>
        </w:rPr>
        <w:t>section headed "</w:t>
      </w:r>
      <w:r w:rsidR="009527F8" w:rsidRPr="00494D8C">
        <w:rPr>
          <w:bCs/>
        </w:rPr>
        <w:t>United States Federal Income Taxation</w:t>
      </w:r>
      <w:r w:rsidRPr="00494D8C">
        <w:rPr>
          <w:bCs/>
        </w:rPr>
        <w:t>" on pages 6</w:t>
      </w:r>
      <w:r w:rsidR="00E2159F" w:rsidRPr="00494D8C">
        <w:rPr>
          <w:bCs/>
        </w:rPr>
        <w:t>82</w:t>
      </w:r>
      <w:r w:rsidRPr="00494D8C">
        <w:rPr>
          <w:bCs/>
        </w:rPr>
        <w:t xml:space="preserve"> to </w:t>
      </w:r>
      <w:r w:rsidR="00035180" w:rsidRPr="00494D8C">
        <w:rPr>
          <w:bCs/>
        </w:rPr>
        <w:t>708</w:t>
      </w:r>
      <w:r w:rsidRPr="00494D8C">
        <w:rPr>
          <w:bCs/>
        </w:rPr>
        <w:t xml:space="preserve"> of the Original Offering Circular shall be deleted and replaced with the following: </w:t>
      </w:r>
    </w:p>
    <w:p w14:paraId="64724BDF" w14:textId="0D36C827" w:rsidR="009527F8" w:rsidRPr="00494D8C" w:rsidRDefault="00921D13" w:rsidP="006770F0">
      <w:pPr>
        <w:pStyle w:val="NormalOCAshurst"/>
        <w:ind w:left="567"/>
        <w:rPr>
          <w:b/>
          <w:u w:val="single"/>
        </w:rPr>
      </w:pPr>
      <w:r w:rsidRPr="00494D8C">
        <w:t>"</w:t>
      </w:r>
      <w:bookmarkEnd w:id="3"/>
      <w:r w:rsidR="009527F8" w:rsidRPr="00494D8C">
        <w:rPr>
          <w:b/>
          <w:u w:val="single"/>
        </w:rPr>
        <w:t>United States Federal Income Taxation</w:t>
      </w:r>
    </w:p>
    <w:p w14:paraId="0FD59B02" w14:textId="77777777" w:rsidR="009527F8" w:rsidRPr="00494D8C" w:rsidRDefault="009527F8" w:rsidP="006770F0">
      <w:pPr>
        <w:pStyle w:val="NormalOCAshurst"/>
        <w:ind w:left="567"/>
        <w:rPr>
          <w:b/>
        </w:rPr>
      </w:pPr>
      <w:r w:rsidRPr="00494D8C">
        <w:rPr>
          <w:b/>
        </w:rPr>
        <w:t>THE SUMMARY OF U.S. FEDERAL INCOME TAX CONSEQUENCES SET OUT BELOW IS FOR GENERAL INFORMATION ONLY. INVESTORS SHOULD CONSULT THEIR TAX ADVISERS AS TO THE PARTICULAR TAX CONSEQUENCES TO THEM OF OWNING THE SECURITIES, THE APPLICABILITY AND EFFECT OF STATE, LOCAL, FOREIGN AND OTHER TAX LAWS AND POSSIBLE CHANGES IN TAX LAW.</w:t>
      </w:r>
    </w:p>
    <w:p w14:paraId="10A84BE9" w14:textId="77777777" w:rsidR="009527F8" w:rsidRPr="00494D8C" w:rsidRDefault="009527F8" w:rsidP="006770F0">
      <w:pPr>
        <w:pStyle w:val="NormalOCAshurst"/>
        <w:ind w:left="567"/>
        <w:rPr>
          <w:b/>
          <w:i/>
        </w:rPr>
      </w:pPr>
      <w:r w:rsidRPr="00494D8C">
        <w:rPr>
          <w:b/>
          <w:i/>
        </w:rPr>
        <w:t>General</w:t>
      </w:r>
    </w:p>
    <w:p w14:paraId="2374D541" w14:textId="77777777" w:rsidR="009527F8" w:rsidRPr="00494D8C" w:rsidRDefault="009527F8" w:rsidP="006770F0">
      <w:pPr>
        <w:pStyle w:val="NormalOCAshurst"/>
        <w:ind w:left="567"/>
      </w:pPr>
      <w:r w:rsidRPr="00494D8C">
        <w:t xml:space="preserve">The following is a summary of certain U.S. federal income tax consequences that may be relevant to the purchase, ownership and disposition of Securities. This summary does not purport to be a comprehensive description of all of the U.S. federal income tax consequences that may be relevant to the acquisition, ownership or disposition of Securities by any particular investor, including tax consequences that arise from rules of general application to all taxpayers or to certain classes of taxpayers or that are generally believed to be known by investors. For example, this summary does not address tax considerations applicable to (i) persons that may be subject to special treatment under the U.S. federal income tax laws, such as financial institutions, insurance companies, investors liable for the alternative minimum tax, individual retirement accounts and other tax-deferred accounts, tax-exempt organisations, and dealers in securities or currencies, (ii) investors that will hold Securities as part of a straddle, hedging, conversion or other integrated investment transaction or a constructive sale for U.S. federal income tax purposes, (iii) U.S. Holders (as defined below) whose functional currency is not the U.S. dollar, (iv) Non-U.S. Holders (as defined below) who recognise gain in respect of a Security in a taxable year in which the Non-U.S. Holder is present in the United States for 183 days or more, (v) persons that do not hold the Securities as capital assets, (vi) investors that own or are treated as owning (directly or indirectly) 10 per cent. or more, by vote or value, of the stock of the relevant Issuer (or JPMorgan Chase &amp; Co. in the case of Securities issued by </w:t>
      </w:r>
      <w:proofErr w:type="spellStart"/>
      <w:r w:rsidRPr="00494D8C">
        <w:t>JPMCFC</w:t>
      </w:r>
      <w:proofErr w:type="spellEnd"/>
      <w:r w:rsidRPr="00494D8C">
        <w:t xml:space="preserve">) or (vii) except where the context indicates otherwise, persons that did not purchase the Securities in the initial offering. </w:t>
      </w:r>
    </w:p>
    <w:p w14:paraId="5425ED83" w14:textId="77777777" w:rsidR="009527F8" w:rsidRPr="00494D8C" w:rsidRDefault="009527F8" w:rsidP="006770F0">
      <w:pPr>
        <w:pStyle w:val="NormalOCAshurst"/>
        <w:ind w:left="567"/>
      </w:pPr>
      <w:r w:rsidRPr="00494D8C">
        <w:t>This summary does not address the material U.S. federal income tax consequences of every type of Security which may be issued under the Programme, and the relevant Pricing Supplement may contain additional or modified disclosure concerning the material U.S. federal income tax consequences relevant to such type of Security as appropriate. This summary also does not address the considerations that may be applicable to holders of equity or other interests in an owner of a Security.</w:t>
      </w:r>
    </w:p>
    <w:p w14:paraId="4E159EB2" w14:textId="7B61D415" w:rsidR="009527F8" w:rsidRPr="00494D8C" w:rsidRDefault="009527F8" w:rsidP="006770F0">
      <w:pPr>
        <w:pStyle w:val="NormalOCAshurst"/>
        <w:ind w:left="567"/>
      </w:pPr>
      <w:r w:rsidRPr="00494D8C">
        <w:t>This summary is based on the Code, U.S. Department of the Treasury ("</w:t>
      </w:r>
      <w:r w:rsidRPr="00494D8C">
        <w:rPr>
          <w:b/>
          <w:bCs/>
        </w:rPr>
        <w:t>U.S. Treasury</w:t>
      </w:r>
      <w:r w:rsidR="00414900" w:rsidRPr="00494D8C">
        <w:fldChar w:fldCharType="begin"/>
      </w:r>
      <w:r w:rsidR="00414900" w:rsidRPr="00494D8C">
        <w:instrText xml:space="preserve"> XE "U.S. Treasury" </w:instrText>
      </w:r>
      <w:r w:rsidR="00414900" w:rsidRPr="00494D8C">
        <w:fldChar w:fldCharType="end"/>
      </w:r>
      <w:r w:rsidRPr="00494D8C">
        <w:t>") regulations promulgated thereunder and judicial and administrative interpretations thereof, in each case as in effect and available on the date hereof. Changes to any of the foregoing could affect the tax consequences described below, possibly with retroactive effect. Further, this summary does not describe any tax consequences arising out of the tax laws of any U.S. state or local or non-U.S. jurisdiction, or any U.S. federal taxes other than income taxes and, to a limited extent, estate taxes. This summary does not address alternative minimum tax consequences and discusses to a limited extent, the Medicare tax on investment income. Prospective purchasers of Securities should consult their tax advisors regarding the U.S. federal, state, local and non-U.S. tax consequences of owning Securities in light of their own particular circumstances.</w:t>
      </w:r>
    </w:p>
    <w:p w14:paraId="2E75DFEB" w14:textId="07BB2238" w:rsidR="009527F8" w:rsidRPr="00494D8C" w:rsidRDefault="009527F8" w:rsidP="006770F0">
      <w:pPr>
        <w:pStyle w:val="NormalOCAshurst"/>
        <w:ind w:left="567"/>
      </w:pPr>
      <w:r w:rsidRPr="00494D8C">
        <w:t>The Securities are complex derivative instruments the relevant terms and conditions for which may vary materially among different Series of Securities. There is limited U.S. federal income tax authority directly applicable to the Securities and such authority may not directly address Securities with terms substantially similar to those of a particular Security. Accordingly, the proper characterisation for U.S. federal income tax purposes of the Securities may be unclear under current law. The timing and character of income recognised by an investor for U.S. federal income tax purposes may be uncertain and also may vary depending on the precise terms of a Security. No rulings will be sought from the U.S. Internal Revenue Service (the "</w:t>
      </w:r>
      <w:r w:rsidRPr="00494D8C">
        <w:rPr>
          <w:b/>
          <w:bCs/>
        </w:rPr>
        <w:t>IRS</w:t>
      </w:r>
      <w:r w:rsidR="004A2016" w:rsidRPr="00494D8C">
        <w:fldChar w:fldCharType="begin"/>
      </w:r>
      <w:r w:rsidR="004A2016" w:rsidRPr="00494D8C">
        <w:instrText xml:space="preserve"> XE "IRS" </w:instrText>
      </w:r>
      <w:r w:rsidR="004A2016" w:rsidRPr="00494D8C">
        <w:fldChar w:fldCharType="end"/>
      </w:r>
      <w:r w:rsidRPr="00494D8C">
        <w:t xml:space="preserve">") regarding the characterisation of any of the Securities issued hereunder for U.S. federal income tax purposes, and the IRS or a court might not agree with the treatments described </w:t>
      </w:r>
      <w:r w:rsidRPr="00494D8C">
        <w:lastRenderedPageBreak/>
        <w:t>below. Accordingly, each prospective purchaser is urged to consult its own tax advisor regarding all aspects of the U.S. federal income tax consequences of acquiring, holding or disposing of Securities.</w:t>
      </w:r>
    </w:p>
    <w:p w14:paraId="7B1BF842" w14:textId="77777777" w:rsidR="009527F8" w:rsidRPr="00494D8C" w:rsidRDefault="009527F8" w:rsidP="006770F0">
      <w:pPr>
        <w:pStyle w:val="NormalOCAshurst"/>
        <w:ind w:left="567"/>
      </w:pPr>
      <w:r w:rsidRPr="00494D8C">
        <w:t>As used herein, the term "</w:t>
      </w:r>
      <w:r w:rsidRPr="00494D8C">
        <w:rPr>
          <w:b/>
        </w:rPr>
        <w:t>U.S. Holder</w:t>
      </w:r>
      <w:r w:rsidRPr="00494D8C">
        <w:fldChar w:fldCharType="begin"/>
      </w:r>
      <w:r w:rsidRPr="00494D8C">
        <w:instrText xml:space="preserve"> XE "U.S. Holder" </w:instrText>
      </w:r>
      <w:r w:rsidRPr="00494D8C">
        <w:fldChar w:fldCharType="end"/>
      </w:r>
      <w:r w:rsidRPr="00494D8C">
        <w:t>" means a beneficial owner of Securities that is for U.S. federal income tax purposes (i) a citizen or resident of the United States, (ii) a corporation, or other entity treated as a corporation, created or organised under the laws of the United States or any political subdivision thereof, (iii) an estate the income of which is subject to U.S. federal income tax without regard to its source or (iv) a trust if a court within the United States is able to exercise primary supervision over the administration of the trust and one or more U.S. persons have the authority to control all substantial decisions of the trust, or the trust has elected to be treated as a domestic trust for U.S. federal income tax purposes.</w:t>
      </w:r>
    </w:p>
    <w:p w14:paraId="7B0FFD86" w14:textId="77777777" w:rsidR="009527F8" w:rsidRPr="00494D8C" w:rsidRDefault="009527F8" w:rsidP="006770F0">
      <w:pPr>
        <w:pStyle w:val="NormalOCAshurst"/>
        <w:ind w:left="567"/>
      </w:pPr>
      <w:r w:rsidRPr="00494D8C">
        <w:t>The term "</w:t>
      </w:r>
      <w:r w:rsidRPr="00494D8C">
        <w:rPr>
          <w:b/>
        </w:rPr>
        <w:t>Non-U.S. Holder</w:t>
      </w:r>
      <w:r w:rsidRPr="00494D8C">
        <w:rPr>
          <w:b/>
        </w:rPr>
        <w:fldChar w:fldCharType="begin"/>
      </w:r>
      <w:r w:rsidRPr="00494D8C">
        <w:instrText xml:space="preserve"> XE "Non-U.S. Holder" </w:instrText>
      </w:r>
      <w:r w:rsidRPr="00494D8C">
        <w:rPr>
          <w:b/>
        </w:rPr>
        <w:fldChar w:fldCharType="end"/>
      </w:r>
      <w:r w:rsidRPr="00494D8C">
        <w:t>" means a beneficial owner of Securities that is neither a U.S. Holder nor a partnership for U.S. federal income tax purposes. The U.S. federal income tax treatment of a partner in a partnership for U.S. federal income tax purposes that holds Securities will depend on the status of the partner and the activities of the partnership. Investors that are partnerships (or other entities properly treated as partnerships for U.S. federal income tax purposes) and partners in such partnerships should consult their tax adviser concerning the U.S. federal income tax consequences of the acquisition, ownership and disposition of Securities by the partnership.</w:t>
      </w:r>
    </w:p>
    <w:p w14:paraId="2F7E0022" w14:textId="77777777" w:rsidR="009527F8" w:rsidRPr="00494D8C" w:rsidRDefault="009527F8" w:rsidP="006770F0">
      <w:pPr>
        <w:pStyle w:val="NormalOCAshurst"/>
        <w:ind w:left="567"/>
      </w:pPr>
      <w:r w:rsidRPr="00494D8C">
        <w:t>An accrual method taxpayer may be required to recognise income for U.S. federal income tax purposes no later than the taxable year in which such income is taken into account on its applicable financial statements. This rule could potentially require such a taxpayer to recognise income for U.S. federal income tax purposes prior to the time such income otherwise would be recognised pursuant to the rules described below. U.S. Holders should consult their own tax advisers regarding the potential applicability of these rules to their investment in the Securities.</w:t>
      </w:r>
    </w:p>
    <w:p w14:paraId="0FD7D4F9" w14:textId="77777777" w:rsidR="009527F8" w:rsidRPr="00494D8C" w:rsidRDefault="009527F8" w:rsidP="006770F0">
      <w:pPr>
        <w:pStyle w:val="NormalOCAshurst"/>
        <w:ind w:left="567"/>
      </w:pPr>
      <w:r w:rsidRPr="00494D8C">
        <w:t>Depending on their terms, Securities of a particular Series or Tranche may be characterised as debt for U.S. federal income tax purposes, notwithstanding that the form of the Securities may be something other than debt, e.g., Warrants or Certificates. For the U.S. federal income tax treatment of such a security, see "</w:t>
      </w:r>
      <w:r w:rsidRPr="00494D8C">
        <w:rPr>
          <w:i/>
        </w:rPr>
        <w:t>U.S. Federal Income Tax treatment of Securities Treated as Debt</w:t>
      </w:r>
      <w:r w:rsidRPr="00494D8C">
        <w:t>" below. Conversely, a Security in the form of a Note may be characterised as something other than debt for U.S. federal income tax purposes. For the U.S. tax treatment of such a Security, see "</w:t>
      </w:r>
      <w:r w:rsidRPr="00494D8C">
        <w:rPr>
          <w:i/>
        </w:rPr>
        <w:t>U.S. Federal Income Tax Treatment of Securities Treated as other than Debt</w:t>
      </w:r>
      <w:r w:rsidRPr="00494D8C">
        <w:t>" below. A Security may be characterised as debt for U.S. federal income tax purposes if the relevant Issuer is legally obliged to pay unconditionally amounts at least equal to, or substantially equal to, the investor's principal amount invested (or, possibly, if the likelihood that such an amount will not be repaid is remote). Under the relevant authorities, the determination of whether an instrument is properly characterised as debt is made on the basis of all the facts and circumstances. The courts and the IRS have identified a number of factors as relevant to such a determination. However, these authorities generally have concluded that no one factor is controlling for purposes of determining whether an instrument is properly characterised as debt for U.S. federal income tax purposes. Rather, they typically weigh the various factors to determine whether, on balance, the debt features of an instrument predominate. As a result, even in those instances, alternative characterisations are possible.</w:t>
      </w:r>
    </w:p>
    <w:p w14:paraId="661205E8" w14:textId="77777777" w:rsidR="009527F8" w:rsidRPr="00494D8C" w:rsidRDefault="009527F8" w:rsidP="006770F0">
      <w:pPr>
        <w:pStyle w:val="NormalOCAshurst"/>
        <w:ind w:left="567"/>
      </w:pPr>
      <w:r w:rsidRPr="00494D8C">
        <w:t>Securities characterised as other than debt may, depending on their precise terms, properly be characterised as options or collateralised options written or held by the U.S. Holder, pre-paid forward contracts, or other pre-paid derivative contracts.  If a Security provides for interim payments, the Security may instead be characterised as a notional principal contract, a pre-paid derivative contract with contingent coupons, or a unit comprised of a pre-paid derivative and a separate interest-bearing deposit that collateralises a  U.S. Holder's obligations under that derivative. In either case, alternative characterisations are also possible.</w:t>
      </w:r>
    </w:p>
    <w:p w14:paraId="5C7990FD" w14:textId="77777777" w:rsidR="009527F8" w:rsidRPr="00494D8C" w:rsidRDefault="009527F8" w:rsidP="006770F0">
      <w:pPr>
        <w:pStyle w:val="NormalOCAshurst"/>
        <w:ind w:left="567"/>
      </w:pPr>
      <w:r w:rsidRPr="00494D8C">
        <w:t>Under one alternative characterisation, the IRS may treat an investor as the beneficial owner of an underlying security for U.S. federal income tax purposes. In the case of a Security that references an entity treated as a partnership for U.S. federal income tax purposes, an investor could be deemed to own an interest in such partnership. Where the partnership is engaged in a U.S. trade or business, a Non-U.S. Holder could be subject to U.S. federal and state tax return filing and payment obligations on account of the activities of the partnership, including in the case of certain Non-U.S. Holders, a branch profits tax. A Non-U.S. Holder may also be subject to a 10% withholding tax on a portion of the amount realised on a sale, exchange or redemption of a Security. Investors should consult their tax advisors as to the possible characterisations of a Security and the consequences arising therefrom.</w:t>
      </w:r>
    </w:p>
    <w:p w14:paraId="3EBC0F7B" w14:textId="77777777" w:rsidR="009527F8" w:rsidRPr="00494D8C" w:rsidRDefault="009527F8" w:rsidP="006770F0">
      <w:pPr>
        <w:pStyle w:val="NormalOCAshurst"/>
        <w:ind w:left="567"/>
      </w:pPr>
      <w:r w:rsidRPr="00494D8C">
        <w:lastRenderedPageBreak/>
        <w:t xml:space="preserve">For a Series or a Tranche of Securities that is not properly treated as debt, investors should be aware that the IRS issued a notice requesting comments from the public with respect to issues in connection with prepaid forward contracts and similar derivatives. Among other things, the notice states that the IRS is considering whether parties to such transactions should be required to accrue income/expense over the term of such instruments and that consideration is also being given to the source of such income. A bill was also introduced in Congress to require beneficial owners of prepaid derivative contracts acquired after the enactment of the bill to accrue interest currently over the term of such instrument notwithstanding that the instrument does not bear interest and is not treated as debt for U.S. federal income tax purposes. It is not possible to determine what guidance will ultimately be issued, if any. It is possible, however, that under such guidance, U.S. Holders of the Securities will ultimately be required to accrue income currently and this could be applied on a retroactive basis. The IRS and the U.S. Treasury are also considering other relevant issues, including whether additional gain or loss from such instruments should be treated as ordinary or capital and whether the special "constructive ownership rules" of Section 1260 of the Code, which generally operate to </w:t>
      </w:r>
      <w:proofErr w:type="spellStart"/>
      <w:r w:rsidRPr="00494D8C">
        <w:t>recharacterise</w:t>
      </w:r>
      <w:proofErr w:type="spellEnd"/>
      <w:r w:rsidRPr="00494D8C">
        <w:t xml:space="preserve"> certain long-term capital gains as ordinary income and impose an interest charge, might be applied to such instruments. Further, future legislation, including legislation based on bills previously introduced in Congress, may tax all derivative instruments on a mark-to-market basis, requiring U.S. Holders of such derivative instruments to take into account annually gains and losses on such instruments as ordinary income. The adoption of such legislation or similar proposals may significantly impact the tax consequences from an investment in the Securities, including the timing and character of income and gain on the Securities. Investors should consult their tax advisor as to the tax consequences of possible alternative characterizations of the Securities for U.S. federal income tax purposes and proposals to change the taxation of certain derivative instruments.</w:t>
      </w:r>
    </w:p>
    <w:p w14:paraId="4FAAA5CB" w14:textId="77777777" w:rsidR="009527F8" w:rsidRPr="00494D8C" w:rsidRDefault="009527F8" w:rsidP="006770F0">
      <w:pPr>
        <w:pStyle w:val="NormalOCAshurst"/>
        <w:ind w:left="567"/>
      </w:pPr>
      <w:r w:rsidRPr="00494D8C">
        <w:t>Securities that reference a benchmark index are subject to certain fallback provisions in the event the relevant benchmark index becomes unavailable. U.S. Treasury regulations address modifications to obligations or contracts that reference an interbank offered rate in connection with the impending unavailability of such rates, and, among other things, whether a modification would be treated as an exchange of the obligation or contract for U.S. federal income tax purposes. For Securities that reference a benchmark index (including, for example, GBP LIBOR or USD LIBOR), it is possible that application of the fallback provisions or transition to a fallback rate may result in a deemed exchange of the Securities for U.S. federal income tax purposes. In such case, a U.S. Holder may, among other consequences, be required to recognise taxable gain with respect to the deemed exchange of such Securities. U.S. Holders should consult their tax advisors regarding the consequences of holding Securities that reference a benchmark index.</w:t>
      </w:r>
    </w:p>
    <w:p w14:paraId="60A73ADB" w14:textId="77777777" w:rsidR="009527F8" w:rsidRPr="00494D8C" w:rsidRDefault="009527F8" w:rsidP="006770F0">
      <w:pPr>
        <w:pStyle w:val="NormalOCAshurst"/>
        <w:ind w:left="567"/>
        <w:rPr>
          <w:b/>
        </w:rPr>
      </w:pPr>
      <w:r w:rsidRPr="00494D8C">
        <w:rPr>
          <w:b/>
        </w:rPr>
        <w:t xml:space="preserve">Taxation of Securities issued by </w:t>
      </w:r>
      <w:proofErr w:type="spellStart"/>
      <w:r w:rsidRPr="00494D8C">
        <w:rPr>
          <w:b/>
        </w:rPr>
        <w:t>JPMCFC</w:t>
      </w:r>
      <w:proofErr w:type="spellEnd"/>
      <w:r w:rsidRPr="00494D8C">
        <w:rPr>
          <w:b/>
        </w:rPr>
        <w:t>, JPMorgan Chase &amp; Co. or JPMorgan Chase Bank, N.A.</w:t>
      </w:r>
    </w:p>
    <w:p w14:paraId="0A89C2CC" w14:textId="77777777" w:rsidR="009527F8" w:rsidRPr="00494D8C" w:rsidRDefault="009527F8" w:rsidP="006770F0">
      <w:pPr>
        <w:pStyle w:val="NormalOCAshurst"/>
        <w:ind w:left="567"/>
      </w:pPr>
      <w:r w:rsidRPr="00494D8C">
        <w:t>Except as specifically limited or noted, the discussion under this section entitled "</w:t>
      </w:r>
      <w:r w:rsidRPr="00494D8C">
        <w:rPr>
          <w:i/>
        </w:rPr>
        <w:t xml:space="preserve">Taxation of Securities issued by </w:t>
      </w:r>
      <w:proofErr w:type="spellStart"/>
      <w:r w:rsidRPr="00494D8C">
        <w:rPr>
          <w:i/>
        </w:rPr>
        <w:t>JPMCFC</w:t>
      </w:r>
      <w:proofErr w:type="spellEnd"/>
      <w:r w:rsidRPr="00494D8C">
        <w:rPr>
          <w:i/>
        </w:rPr>
        <w:t>, JPMorgan Chase &amp; Co. or JPMorgan Chase Bank, N.A.</w:t>
      </w:r>
      <w:r w:rsidRPr="00494D8C">
        <w:t xml:space="preserve">" addresses Securities issued by </w:t>
      </w:r>
      <w:proofErr w:type="spellStart"/>
      <w:r w:rsidRPr="00494D8C">
        <w:t>JPMCFC</w:t>
      </w:r>
      <w:proofErr w:type="spellEnd"/>
      <w:r w:rsidRPr="00494D8C">
        <w:t>, JPMorgan Chase &amp; Co. or JPMorgan Chase Bank, N.A. (each, a "</w:t>
      </w:r>
      <w:r w:rsidRPr="00494D8C">
        <w:rPr>
          <w:b/>
        </w:rPr>
        <w:t>U.S. Issuer</w:t>
      </w:r>
      <w:r w:rsidRPr="00494D8C">
        <w:rPr>
          <w:b/>
        </w:rPr>
        <w:fldChar w:fldCharType="begin"/>
      </w:r>
      <w:r w:rsidRPr="00494D8C">
        <w:instrText xml:space="preserve"> XE "U.S. Issuer" </w:instrText>
      </w:r>
      <w:r w:rsidRPr="00494D8C">
        <w:rPr>
          <w:b/>
        </w:rPr>
        <w:fldChar w:fldCharType="end"/>
      </w:r>
      <w:r w:rsidRPr="00494D8C">
        <w:t xml:space="preserve">"). Solely for U.S. federal income tax purposes, JPMorgan Chase &amp; Co. is treated as the "Issuer" of the Securities issued by </w:t>
      </w:r>
      <w:proofErr w:type="spellStart"/>
      <w:r w:rsidRPr="00494D8C">
        <w:t>JPMCFC</w:t>
      </w:r>
      <w:proofErr w:type="spellEnd"/>
      <w:r w:rsidRPr="00494D8C">
        <w:t xml:space="preserve">, and the discussion herein should be read consistently with such treatment. </w:t>
      </w:r>
    </w:p>
    <w:p w14:paraId="6202BA6A" w14:textId="77777777" w:rsidR="009527F8" w:rsidRPr="00494D8C" w:rsidRDefault="009527F8" w:rsidP="006770F0">
      <w:pPr>
        <w:pStyle w:val="NormalOCAshurst"/>
        <w:ind w:left="567"/>
        <w:rPr>
          <w:b/>
        </w:rPr>
      </w:pPr>
      <w:r w:rsidRPr="00494D8C">
        <w:rPr>
          <w:b/>
        </w:rPr>
        <w:t>Taxation of U.S. Holders</w:t>
      </w:r>
    </w:p>
    <w:p w14:paraId="1DB65817" w14:textId="77777777" w:rsidR="009527F8" w:rsidRPr="00494D8C" w:rsidRDefault="009527F8" w:rsidP="006770F0">
      <w:pPr>
        <w:pStyle w:val="NormalOCAshurst"/>
        <w:ind w:left="567"/>
        <w:rPr>
          <w:b/>
          <w:i/>
        </w:rPr>
      </w:pPr>
      <w:r w:rsidRPr="00494D8C">
        <w:rPr>
          <w:b/>
          <w:i/>
        </w:rPr>
        <w:t>Information Reporting and Backup Withholding</w:t>
      </w:r>
    </w:p>
    <w:p w14:paraId="775E2D30" w14:textId="77777777" w:rsidR="009527F8" w:rsidRPr="00494D8C" w:rsidRDefault="009527F8" w:rsidP="006770F0">
      <w:pPr>
        <w:pStyle w:val="NormalOCAshurst"/>
        <w:ind w:left="567"/>
      </w:pPr>
      <w:r w:rsidRPr="00494D8C">
        <w:t>Amounts payable on, and the proceeds of a sale, redemption or other taxable disposition of, Securities may be subject to information reporting. Such amounts may also be subject to backup withholding if a U.S. Holder fails to provide certain identifying information (such as an accurate taxpayer identification number) or meets certain other conditions. U.S. Holders should consult their tax advisers as to their qualification for exemption from backup withholding and the procedure for obtaining an exemption. Amounts withheld under the backup withholding rules are not additional taxes and may be refunded or credited against a U.S. Holder's U.S. federal income tax liability, provided the relevant information is timely furnished to the IRS. U.S. Holders should consult their tax advisors regarding the application of information reporting and backup withholding to their particular situations, the availability of an exemption therefrom, and the procedure for obtaining an exemption, if available.</w:t>
      </w:r>
    </w:p>
    <w:p w14:paraId="72F88B89" w14:textId="77777777" w:rsidR="009527F8" w:rsidRPr="00494D8C" w:rsidRDefault="009527F8" w:rsidP="006770F0">
      <w:pPr>
        <w:pStyle w:val="NormalOCAshurst"/>
        <w:keepNext/>
        <w:ind w:left="567"/>
        <w:rPr>
          <w:b/>
          <w:i/>
        </w:rPr>
      </w:pPr>
      <w:r w:rsidRPr="00494D8C">
        <w:rPr>
          <w:b/>
          <w:i/>
        </w:rPr>
        <w:lastRenderedPageBreak/>
        <w:t>U.S. Federal Income Tax Treatment of Securities Treated as Debt</w:t>
      </w:r>
    </w:p>
    <w:p w14:paraId="440E05C6" w14:textId="77777777" w:rsidR="009527F8" w:rsidRPr="00494D8C" w:rsidRDefault="009527F8" w:rsidP="006770F0">
      <w:pPr>
        <w:pStyle w:val="NormalOCAshurst"/>
        <w:ind w:left="567"/>
        <w:rPr>
          <w:i/>
        </w:rPr>
      </w:pPr>
      <w:r w:rsidRPr="00494D8C">
        <w:rPr>
          <w:i/>
        </w:rPr>
        <w:t>The following discussion applies to Securities that are properly treated as debt for U.S. federal income tax purposes. The general discussion below is subject to special rules applicable to Variable Interest Rate Securities, Contingent Securities, Short-Term Securities, Foreign Currency Securities, and Foreign Currency Contingent Securities, as described below.</w:t>
      </w:r>
    </w:p>
    <w:p w14:paraId="69005245" w14:textId="77777777" w:rsidR="009527F8" w:rsidRPr="00494D8C" w:rsidRDefault="009527F8" w:rsidP="006770F0">
      <w:pPr>
        <w:pStyle w:val="NormalOCAshurst"/>
        <w:ind w:left="567"/>
      </w:pPr>
      <w:r w:rsidRPr="00494D8C">
        <w:t>Payments of Interest</w:t>
      </w:r>
    </w:p>
    <w:p w14:paraId="4C611CFF" w14:textId="77777777" w:rsidR="009527F8" w:rsidRPr="00494D8C" w:rsidRDefault="009527F8" w:rsidP="006770F0">
      <w:pPr>
        <w:pStyle w:val="NormalOCAshurst"/>
        <w:ind w:left="567"/>
      </w:pPr>
      <w:r w:rsidRPr="00494D8C">
        <w:t>Interest on a Security, whether payable in U.S. dollars or a currency, composite currency or basket of currencies other than U.S. dollars (a "</w:t>
      </w:r>
      <w:r w:rsidRPr="00494D8C">
        <w:rPr>
          <w:b/>
        </w:rPr>
        <w:t>foreign currency</w:t>
      </w:r>
      <w:r w:rsidRPr="00494D8C">
        <w:fldChar w:fldCharType="begin"/>
      </w:r>
      <w:r w:rsidRPr="00494D8C">
        <w:instrText xml:space="preserve"> XE "foreign currency" </w:instrText>
      </w:r>
      <w:r w:rsidRPr="00494D8C">
        <w:fldChar w:fldCharType="end"/>
      </w:r>
      <w:r w:rsidRPr="00494D8C">
        <w:t>"), other than interest on a "Discount Security" that is not "qualified stated interest" (each as defined below under "—</w:t>
      </w:r>
      <w:r w:rsidRPr="00494D8C">
        <w:rPr>
          <w:i/>
        </w:rPr>
        <w:t>Original Issue Discount</w:t>
      </w:r>
      <w:r w:rsidRPr="00494D8C">
        <w:t>") or on a "Contingent Security" (as defined below under "—</w:t>
      </w:r>
      <w:r w:rsidRPr="00494D8C">
        <w:rPr>
          <w:i/>
        </w:rPr>
        <w:t>Contingent Payment Debt Instruments</w:t>
      </w:r>
      <w:r w:rsidRPr="00494D8C">
        <w:t>"), will be taxable to a U.S. Holder as ordinary income at the time it is received or accrued, depending on the U.S. Holder's method of accounting for tax purposes. Interest paid by the relevant Issuer on Securities and original issue discount ("</w:t>
      </w:r>
      <w:r w:rsidRPr="00494D8C">
        <w:rPr>
          <w:b/>
        </w:rPr>
        <w:t>OID</w:t>
      </w:r>
      <w:r w:rsidRPr="00494D8C">
        <w:rPr>
          <w:b/>
        </w:rPr>
        <w:fldChar w:fldCharType="begin"/>
      </w:r>
      <w:r w:rsidRPr="00494D8C">
        <w:instrText xml:space="preserve"> XE "OID" </w:instrText>
      </w:r>
      <w:r w:rsidRPr="00494D8C">
        <w:rPr>
          <w:b/>
        </w:rPr>
        <w:fldChar w:fldCharType="end"/>
      </w:r>
      <w:r w:rsidRPr="00494D8C">
        <w:t>"), if any, accrued with respect to Securities (as described below under "—Original Issue Discount") generally will constitute income from sources within the United States.</w:t>
      </w:r>
    </w:p>
    <w:p w14:paraId="44A24D1C" w14:textId="77777777" w:rsidR="009527F8" w:rsidRPr="00494D8C" w:rsidRDefault="009527F8" w:rsidP="006770F0">
      <w:pPr>
        <w:pStyle w:val="NormalOCAshurst"/>
        <w:ind w:left="567"/>
      </w:pPr>
      <w:r w:rsidRPr="00494D8C">
        <w:t>Original Issue Discount</w:t>
      </w:r>
    </w:p>
    <w:p w14:paraId="21750949" w14:textId="77777777" w:rsidR="009527F8" w:rsidRPr="00494D8C" w:rsidRDefault="009527F8" w:rsidP="006770F0">
      <w:pPr>
        <w:pStyle w:val="NormalOCAshurst"/>
        <w:ind w:left="567"/>
      </w:pPr>
      <w:r w:rsidRPr="00494D8C">
        <w:t>The following is a summary of the principal U.S. federal income tax consequences of the ownership of Securities issued with OID.</w:t>
      </w:r>
    </w:p>
    <w:p w14:paraId="21F1EE64" w14:textId="77777777" w:rsidR="009527F8" w:rsidRPr="00494D8C" w:rsidRDefault="009527F8" w:rsidP="006770F0">
      <w:pPr>
        <w:pStyle w:val="NormalOCAshurst"/>
        <w:ind w:left="567"/>
      </w:pPr>
      <w:r w:rsidRPr="00494D8C">
        <w:t>A Security, other than a Security with a term of one year or less (a "</w:t>
      </w:r>
      <w:r w:rsidRPr="00494D8C">
        <w:rPr>
          <w:b/>
        </w:rPr>
        <w:t>Short-Term Security</w:t>
      </w:r>
      <w:r w:rsidRPr="00494D8C">
        <w:fldChar w:fldCharType="begin"/>
      </w:r>
      <w:r w:rsidRPr="00494D8C">
        <w:instrText xml:space="preserve"> XE "Short-Term Security" </w:instrText>
      </w:r>
      <w:r w:rsidRPr="00494D8C">
        <w:fldChar w:fldCharType="end"/>
      </w:r>
      <w:r w:rsidRPr="00494D8C">
        <w:t>"), will be treated as issued with OID (a "</w:t>
      </w:r>
      <w:r w:rsidRPr="00494D8C">
        <w:rPr>
          <w:b/>
        </w:rPr>
        <w:t>Discount Security</w:t>
      </w:r>
      <w:r w:rsidRPr="00494D8C">
        <w:fldChar w:fldCharType="begin"/>
      </w:r>
      <w:r w:rsidRPr="00494D8C">
        <w:instrText xml:space="preserve"> XE "Discount Security" </w:instrText>
      </w:r>
      <w:r w:rsidRPr="00494D8C">
        <w:fldChar w:fldCharType="end"/>
      </w:r>
      <w:r w:rsidRPr="00494D8C">
        <w:t xml:space="preserve">") if the excess of the Security's "stated redemption price at maturity" over its issue price equals or is more than a </w:t>
      </w:r>
      <w:r w:rsidRPr="00494D8C">
        <w:rPr>
          <w:i/>
        </w:rPr>
        <w:t>de minimis</w:t>
      </w:r>
      <w:r w:rsidRPr="00494D8C">
        <w:t xml:space="preserve"> amount (0.25 per cent. of the Security's stated redemption price at maturity multiplied by the number of complete years to its maturity). An obligation that provides for the payment of amounts other than qualified stated interest before maturity will be treated as a Discount Security if the excess of the Security's stated redemption price at maturity over its issue price is equal to or greater than 0.25 per cent. of the Security's stated redemption price at maturity multiplied by the weighted average maturity of the Security. A Security's weighted average maturity is the sum of the following amounts determined for each payment on a Security (other than a payment of qualified stated interest): (i) the number of complete years from the issue date until the payment is made multiplied by (ii) a fraction, the numerator of which is the amount of the payment and the denominator of which is the Security's stated redemption price at maturity. Generally, the issue price of a Security will be the first price at which a substantial amount of Securities included in the issue of which the Security is a part is sold for cash to persons other than bond houses, brokers, or similar persons or organisations acting in the capacity of underwriters, placement agents, or wholesalers. The stated redemption price at maturity of a Security is the total of all payments provided by the Security that are not payments of "qualified stated interest". A qualified stated interest payment is generally any one of a series of stated interest payments on a Security that are unconditionally payable in cash or property, other than debt instruments of the issuer, at least annually at a single fixed rate (with certain exceptions for lower rates paid during some periods), or a variable rate (in the circumstances described below under "-- Variable Interest Rate Securities"), applied to the outstanding principal amount of the Security. Solely for the purposes of determining the amount of OID, if any, on a Security, an Issuer generally will be deemed to exercise any option that has the effect of decreasing the yield on the Security, and the U.S. Holder generally will be deemed to exercise any option that has the effect of increasing the yield on the Security.</w:t>
      </w:r>
    </w:p>
    <w:p w14:paraId="595346FF" w14:textId="77777777" w:rsidR="009527F8" w:rsidRPr="00494D8C" w:rsidRDefault="009527F8" w:rsidP="006770F0">
      <w:pPr>
        <w:pStyle w:val="NormalOCAshurst"/>
        <w:ind w:left="567"/>
      </w:pPr>
      <w:r w:rsidRPr="00494D8C">
        <w:t>A U.S. Holder of a Discount Security generally must accrue OID in gross income over the term of the Discount Security on a constant-yield basis, regardless of the U.S. Holder's regular method of tax accounting. As a result, a U.S. Holder may recognise taxable income in respect of a Discount Security before the receipt of the cash to which the income is attributable. The amount of OID includible in income by a U.S. Holder of a Discount Security is the sum of the daily portions of OID with respect to the Discount Security for each day during the taxable year or portion of the taxable year in which the U.S. Holder holds the Discount Security ("</w:t>
      </w:r>
      <w:r w:rsidRPr="00494D8C">
        <w:rPr>
          <w:b/>
        </w:rPr>
        <w:t>accrued OID</w:t>
      </w:r>
      <w:r w:rsidRPr="00494D8C">
        <w:rPr>
          <w:b/>
        </w:rPr>
        <w:fldChar w:fldCharType="begin"/>
      </w:r>
      <w:r w:rsidRPr="00494D8C">
        <w:instrText xml:space="preserve"> XE "accrued OID" </w:instrText>
      </w:r>
      <w:r w:rsidRPr="00494D8C">
        <w:rPr>
          <w:b/>
        </w:rPr>
        <w:fldChar w:fldCharType="end"/>
      </w:r>
      <w:r w:rsidRPr="00494D8C">
        <w:t xml:space="preserve">"). The daily portion is determined by allocating to each day in any "accrual period" a pro rata portion of the OID allocable to that accrual period. Accrual periods with respect to a Security may be of any length selected by the U.S. Holder and may vary in length over the term of the Security as long as (i) no accrual period is longer than one year and (ii) each scheduled payment of interest or principal on the Security occurs on either the final or first day of an </w:t>
      </w:r>
      <w:r w:rsidRPr="00494D8C">
        <w:lastRenderedPageBreak/>
        <w:t>accrual period. The amount of OID allocable to an accrual period is equal to the excess of (a) the product of the Discount Security's adjusted issue price at the beginning of the accrual period and the Discount Security's yield to maturity (determined on the basis of compounding at the close of each accrual period and properly adjusted for the length of the accrual period) over (b) the sum of the payments of qualified stated interest on the Security allocable to the accrual period. The "</w:t>
      </w:r>
      <w:r w:rsidRPr="00494D8C">
        <w:rPr>
          <w:b/>
        </w:rPr>
        <w:t>adjusted issue price</w:t>
      </w:r>
      <w:r w:rsidRPr="00494D8C">
        <w:rPr>
          <w:b/>
        </w:rPr>
        <w:fldChar w:fldCharType="begin"/>
      </w:r>
      <w:r w:rsidRPr="00494D8C">
        <w:instrText xml:space="preserve"> XE "adjusted issue price" </w:instrText>
      </w:r>
      <w:r w:rsidRPr="00494D8C">
        <w:rPr>
          <w:b/>
        </w:rPr>
        <w:fldChar w:fldCharType="end"/>
      </w:r>
      <w:r w:rsidRPr="00494D8C">
        <w:t>" of a Discount Security at the beginning of any accrual period is the issue price of the Security increased by (x) the amount of accrued OID for each prior accrual period and decreased by (y) the amount of any payments previously made on the Security that were not qualified stated interest payments.</w:t>
      </w:r>
    </w:p>
    <w:p w14:paraId="6AD78837" w14:textId="77777777" w:rsidR="009527F8" w:rsidRPr="00494D8C" w:rsidRDefault="009527F8" w:rsidP="006770F0">
      <w:pPr>
        <w:pStyle w:val="NormalOCAshurst"/>
        <w:ind w:left="567"/>
      </w:pPr>
      <w:r w:rsidRPr="00494D8C">
        <w:t>Each payment on a Discount Security, other than payments of qualified stated interest, generally will be viewed first as a payment of previously accrued OID to the extent thereof, with the payment attributed first to the earliest accrued OID, and then as a payment of principal. The Securities may have special redemption, repayment or interest rate reset features, as indicated in the applicable Pricing Supplement, that may affect whether a Security is a Discount Security and, if so, the proper timing of recognition of the OID by a U.S. Holder. Securities containing such features may be subject to special rules that differ from the general rules discussed herein. Accordingly, prospective purchasers of Securities with such features should consult their tax advisors regarding these special rules.</w:t>
      </w:r>
    </w:p>
    <w:p w14:paraId="69918F2D" w14:textId="77777777" w:rsidR="009527F8" w:rsidRPr="00494D8C" w:rsidRDefault="009527F8" w:rsidP="006770F0">
      <w:pPr>
        <w:pStyle w:val="NormalOCAshurst"/>
        <w:ind w:left="567"/>
      </w:pPr>
      <w:r w:rsidRPr="00494D8C">
        <w:t>Market Discount</w:t>
      </w:r>
    </w:p>
    <w:p w14:paraId="102EB274" w14:textId="77777777" w:rsidR="009527F8" w:rsidRPr="00494D8C" w:rsidRDefault="009527F8" w:rsidP="006770F0">
      <w:pPr>
        <w:pStyle w:val="NormalOCAshurst"/>
        <w:ind w:left="567"/>
      </w:pPr>
      <w:r w:rsidRPr="00494D8C">
        <w:t>A Security, other than a Short-Term Security, Contingent Security or Foreign Currency Contingent Security, generally will be treated as purchased at a market discount (a "</w:t>
      </w:r>
      <w:r w:rsidRPr="00494D8C">
        <w:rPr>
          <w:b/>
        </w:rPr>
        <w:t>Market Discount Security</w:t>
      </w:r>
      <w:r w:rsidRPr="00494D8C">
        <w:fldChar w:fldCharType="begin"/>
      </w:r>
      <w:r w:rsidRPr="00494D8C">
        <w:instrText xml:space="preserve"> XE "Market Discount Security" </w:instrText>
      </w:r>
      <w:r w:rsidRPr="00494D8C">
        <w:fldChar w:fldCharType="end"/>
      </w:r>
      <w:r w:rsidRPr="00494D8C">
        <w:t>") if the Security's stated redemption price at maturity or, in the case of a Discount Security, the Security's "revised issue price", exceeds the amount for which the U.S. Holder purchased the Security by at least 0.25 per cent. of the Security's stated redemption price at maturity or revised issue price, respectively, multiplied by the number of complete years to the Security's maturity (or, in the case of a Security that provides for payments other than qualified stated interest, the Security's weighted average maturity) (the "</w:t>
      </w:r>
      <w:r w:rsidRPr="00494D8C">
        <w:rPr>
          <w:i/>
        </w:rPr>
        <w:t>de minimis</w:t>
      </w:r>
      <w:r w:rsidRPr="00494D8C">
        <w:t xml:space="preserve"> threshold"). If this excess is not larger than the </w:t>
      </w:r>
      <w:r w:rsidRPr="00494D8C">
        <w:rPr>
          <w:i/>
        </w:rPr>
        <w:t>de minimis</w:t>
      </w:r>
      <w:r w:rsidRPr="00494D8C">
        <w:t xml:space="preserve"> threshold, then the excess constitutes "</w:t>
      </w:r>
      <w:r w:rsidRPr="00494D8C">
        <w:rPr>
          <w:i/>
        </w:rPr>
        <w:t>de minimis</w:t>
      </w:r>
      <w:r w:rsidRPr="00494D8C">
        <w:t xml:space="preserve"> market discount". For this purpose, the "revised issue price" of a Security generally is equal to its issue price, increased by the amount of any OID that has accrued on the Security and decreased by the amount of any payments previously made on the Security other than qualified stated interest payments.</w:t>
      </w:r>
    </w:p>
    <w:p w14:paraId="6A80BE57" w14:textId="77777777" w:rsidR="009527F8" w:rsidRPr="00494D8C" w:rsidRDefault="009527F8" w:rsidP="006770F0">
      <w:pPr>
        <w:pStyle w:val="NormalOCAshurst"/>
        <w:ind w:left="567"/>
      </w:pPr>
      <w:r w:rsidRPr="00494D8C">
        <w:t xml:space="preserve">Any gain recognised by a U.S. Holder on the maturity or disposition of a Market Discount Security (including, for this purpose, the receipt of any payment on the Security that is not qualified stated interest) generally will be treated as ordinary income to the extent of the market discount that accrued on the Security while held by such U.S. Holder. </w:t>
      </w:r>
    </w:p>
    <w:p w14:paraId="68130444" w14:textId="77777777" w:rsidR="009527F8" w:rsidRPr="00494D8C" w:rsidRDefault="009527F8" w:rsidP="006770F0">
      <w:pPr>
        <w:pStyle w:val="NormalOCAshurst"/>
        <w:ind w:left="567"/>
      </w:pPr>
      <w:r w:rsidRPr="00494D8C">
        <w:t>Alternatively, a U.S. Holder of a Market Discount Security may elect to include market discount in income currently over the term of the Security. Such an election will apply to all debt instruments with market discount acquired by the electing U.S. Holder on or after the first day of the first taxable year to which the election applies, and may be revoked only with the consent of the IRS. Market discount will accrue on a straight-line basis unless the U.S. Holder elects to accrue the market discount on a constant-yield method. A U.S. Holder of a Market Discount Security that does not elect to include market discount in income currently generally will be required to defer the deduction of a portion of the interest paid or accrued on indebtedness incurred or maintained to purchase or carry the Market Discount Security.</w:t>
      </w:r>
    </w:p>
    <w:p w14:paraId="3C979DCA" w14:textId="77777777" w:rsidR="009527F8" w:rsidRPr="00494D8C" w:rsidRDefault="009527F8" w:rsidP="006770F0">
      <w:pPr>
        <w:pStyle w:val="NormalOCAshurst"/>
        <w:ind w:left="567"/>
      </w:pPr>
      <w:r w:rsidRPr="00494D8C">
        <w:t>Acquisition Premium</w:t>
      </w:r>
    </w:p>
    <w:p w14:paraId="1F8D163E" w14:textId="77777777" w:rsidR="009527F8" w:rsidRPr="00494D8C" w:rsidRDefault="009527F8" w:rsidP="006770F0">
      <w:pPr>
        <w:pStyle w:val="NormalOCAshurst"/>
        <w:ind w:left="567"/>
      </w:pPr>
      <w:r w:rsidRPr="00494D8C">
        <w:t>A U.S. Holder that purchases a Discount Security for an amount less than or equal to the sum of all amounts payable on the Security after the purchase date, other than payments of qualified stated interest, but in excess of its adjusted issue price (any such excess being "acquisition premium") and that does not make the election described below under "Ele</w:t>
      </w:r>
      <w:r w:rsidRPr="00494D8C">
        <w:rPr>
          <w:i/>
        </w:rPr>
        <w:t>ction to Treat All Interest as Original Issue Discount</w:t>
      </w:r>
      <w:r w:rsidRPr="00494D8C">
        <w:t>", is permitted to reduce the daily portions of OID by a fraction, the numerator of which is the excess of the U.S. Holder's adjusted basis in the Security immediately after its purchase over the Security's adjusted issue price, and the denominator of which is the excess of the sum of all amounts payable on the Security after the purchase date, other than payments of qualified stated interest, over the Security's adjusted issue price.</w:t>
      </w:r>
    </w:p>
    <w:p w14:paraId="029B036C" w14:textId="77777777" w:rsidR="009527F8" w:rsidRPr="00494D8C" w:rsidRDefault="009527F8" w:rsidP="006770F0">
      <w:pPr>
        <w:pStyle w:val="NormalOCAshurst"/>
        <w:ind w:left="567"/>
      </w:pPr>
      <w:r w:rsidRPr="00494D8C">
        <w:t>Election to Treat All Interest as Original Issue Discount</w:t>
      </w:r>
    </w:p>
    <w:p w14:paraId="0FDEF0DF" w14:textId="77777777" w:rsidR="009527F8" w:rsidRPr="00494D8C" w:rsidRDefault="009527F8" w:rsidP="006770F0">
      <w:pPr>
        <w:pStyle w:val="NormalOCAshurst"/>
        <w:ind w:left="567"/>
      </w:pPr>
      <w:r w:rsidRPr="00494D8C">
        <w:lastRenderedPageBreak/>
        <w:t xml:space="preserve">A U.S. Holder may elect to include in gross income all interest that accrues on a Security using the constant yield method described above under "Original Issue Discount", with certain modifications. For purposes of this election, interest includes stated interest, OID, </w:t>
      </w:r>
      <w:r w:rsidRPr="00494D8C">
        <w:rPr>
          <w:i/>
        </w:rPr>
        <w:t>de minimis</w:t>
      </w:r>
      <w:r w:rsidRPr="00494D8C">
        <w:t xml:space="preserve"> OID, market discount, </w:t>
      </w:r>
      <w:r w:rsidRPr="00494D8C">
        <w:rPr>
          <w:i/>
        </w:rPr>
        <w:t>de minimis</w:t>
      </w:r>
      <w:r w:rsidRPr="00494D8C">
        <w:t xml:space="preserve"> market discount and unstated interest, as adjusted by any amortisable bond premium or acquisition premium. This election generally will apply only to the Security with respect to which it is made and may not be revoked without the consent of the IRS. If the election to apply the constant-yield method to all interest on a Security is made with respect to a Market Discount Security, the electing U.S. Holder will be treated as having made the election discussed above under "</w:t>
      </w:r>
      <w:r w:rsidRPr="00494D8C">
        <w:rPr>
          <w:b/>
        </w:rPr>
        <w:t>Market Discount</w:t>
      </w:r>
      <w:r w:rsidRPr="00494D8C">
        <w:fldChar w:fldCharType="begin"/>
      </w:r>
      <w:r w:rsidRPr="00494D8C">
        <w:instrText xml:space="preserve"> XE "Market Discount" </w:instrText>
      </w:r>
      <w:r w:rsidRPr="00494D8C">
        <w:fldChar w:fldCharType="end"/>
      </w:r>
      <w:r w:rsidRPr="00494D8C">
        <w:t>" to include market discount in income currently over the life of all debt instruments with market discount held or thereafter acquired by the U.S. Holder. U.S. Holders should consult their tax advisers concerning the propriety and consequences of this election.</w:t>
      </w:r>
    </w:p>
    <w:p w14:paraId="76CB5C0C" w14:textId="77777777" w:rsidR="009527F8" w:rsidRPr="00494D8C" w:rsidRDefault="009527F8" w:rsidP="006770F0">
      <w:pPr>
        <w:pStyle w:val="NormalOCAshurst"/>
        <w:ind w:left="567"/>
      </w:pPr>
      <w:r w:rsidRPr="00494D8C">
        <w:t>Variable Interest Rate Securities</w:t>
      </w:r>
    </w:p>
    <w:p w14:paraId="729742AD" w14:textId="77777777" w:rsidR="009527F8" w:rsidRPr="00494D8C" w:rsidRDefault="009527F8" w:rsidP="006770F0">
      <w:pPr>
        <w:pStyle w:val="NormalOCAshurst"/>
        <w:ind w:left="567"/>
      </w:pPr>
      <w:r w:rsidRPr="00494D8C">
        <w:t>A Security that provides for interest at one or more variable rates may be treated as a "variable rate debt instrument" under U.S. Treasury regulations governing the accrual of OID (such a Security, a "</w:t>
      </w:r>
      <w:r w:rsidRPr="00494D8C">
        <w:rPr>
          <w:b/>
        </w:rPr>
        <w:t>Variable Interest Rate Security</w:t>
      </w:r>
      <w:r w:rsidRPr="00494D8C">
        <w:rPr>
          <w:b/>
        </w:rPr>
        <w:fldChar w:fldCharType="begin"/>
      </w:r>
      <w:r w:rsidRPr="00494D8C">
        <w:instrText xml:space="preserve"> XE "Variable Interest Rate Security" </w:instrText>
      </w:r>
      <w:r w:rsidRPr="00494D8C">
        <w:rPr>
          <w:b/>
        </w:rPr>
        <w:fldChar w:fldCharType="end"/>
      </w:r>
      <w:r w:rsidRPr="00494D8C">
        <w:t xml:space="preserve">"). A Security may qualify as a Variable Interest Rate Security if (a) its issue price does not exceed the total non-contingent principal payments due under the Security by more than a specified </w:t>
      </w:r>
      <w:r w:rsidRPr="00494D8C">
        <w:rPr>
          <w:i/>
        </w:rPr>
        <w:t>de minimis</w:t>
      </w:r>
      <w:r w:rsidRPr="00494D8C">
        <w:t xml:space="preserve"> amount, (b) it provides for stated interest, paid or compounded at least annually, at (i) one or more qualified floating rates, (ii) a single fixed rate and one or more qualified floating rates, (iii) a single objective rate, or (iv) a single fixed rate and a single objective rate that is a qualified inverse floating rate, and (c) it does not provide for any principal payments that are contingent (other than as described in (a) above).</w:t>
      </w:r>
    </w:p>
    <w:p w14:paraId="2FE5CCAD" w14:textId="77777777" w:rsidR="009527F8" w:rsidRPr="00494D8C" w:rsidRDefault="009527F8" w:rsidP="006770F0">
      <w:pPr>
        <w:pStyle w:val="NormalOCAshurst"/>
        <w:ind w:left="567"/>
      </w:pPr>
      <w:r w:rsidRPr="00494D8C">
        <w:t>A "</w:t>
      </w:r>
      <w:r w:rsidRPr="00494D8C">
        <w:rPr>
          <w:b/>
        </w:rPr>
        <w:t>qualified floating rate</w:t>
      </w:r>
      <w:r w:rsidRPr="00494D8C">
        <w:fldChar w:fldCharType="begin"/>
      </w:r>
      <w:r w:rsidRPr="00494D8C">
        <w:instrText xml:space="preserve"> XE "qualified floating rate" </w:instrText>
      </w:r>
      <w:r w:rsidRPr="00494D8C">
        <w:fldChar w:fldCharType="end"/>
      </w:r>
      <w:r w:rsidRPr="00494D8C">
        <w:t xml:space="preserve">" is any variable rate where variations in the value of the rate can reasonably be expected to measure contemporaneous variations in the cost of newly borrowed funds in the currency in which the Security is denominated. A fixed multiple of a qualified floating rate will constitute a qualified floating rate only if the multiple is greater than 0.65 but not more than 1.35. A variable rate equal to the product of a qualified floating rate and a fixed multiple that is greater than 0.65 but not more than 1.35, increased or decreased by a fixed rate, will also constitute a qualified floating rate. In addition, two or more qualified floating rates that can reasonably be expected to have approximately the same values throughout the term of the </w:t>
      </w:r>
      <w:bookmarkStart w:id="4" w:name="_Hlk138683378"/>
      <w:r w:rsidRPr="00494D8C">
        <w:t>Variable Interest Rate</w:t>
      </w:r>
      <w:bookmarkEnd w:id="4"/>
      <w:r w:rsidRPr="00494D8C">
        <w:t xml:space="preserve"> Security (e.g., two or more qualified floating rates with values within 25 basis points of each other as determined on the Variable Interest Rate Security's issue date) will be treated as a single qualified floating rate. Notwithstanding the foregoing, a variable rate that would otherwise constitute a qualified floating rate but which is subject to one or more restrictions such as a maximum numerical limitation (i.e., a cap) or a minimum numerical limitation (i.e., a floor) may, under certain circumstances, fail to be treated as a qualified floating rate unless the cap or floor is fixed throughout the term of the Variable Interest Rate Security. </w:t>
      </w:r>
    </w:p>
    <w:p w14:paraId="1DE9DCFF" w14:textId="77777777" w:rsidR="009527F8" w:rsidRPr="00494D8C" w:rsidRDefault="009527F8" w:rsidP="006770F0">
      <w:pPr>
        <w:pStyle w:val="NormalOCAshurst"/>
        <w:ind w:left="567"/>
      </w:pPr>
      <w:r w:rsidRPr="00494D8C">
        <w:t>An "</w:t>
      </w:r>
      <w:r w:rsidRPr="00494D8C">
        <w:rPr>
          <w:b/>
        </w:rPr>
        <w:t>objective rate</w:t>
      </w:r>
      <w:r w:rsidRPr="00494D8C">
        <w:fldChar w:fldCharType="begin"/>
      </w:r>
      <w:r w:rsidRPr="00494D8C">
        <w:instrText xml:space="preserve"> XE "objective rate" </w:instrText>
      </w:r>
      <w:r w:rsidRPr="00494D8C">
        <w:fldChar w:fldCharType="end"/>
      </w:r>
      <w:r w:rsidRPr="00494D8C">
        <w:t xml:space="preserve">" is a rate that is not itself a qualified floating rate but which is determined using a single fixed formula and which is based on objective financial or economic information (e.g., one or more qualified floating rates or the yield of actively traded personal property). A rate will not qualify as an objective rate if it is based on information that is within the control of the relevant Issuer (or a related party) or that is unique to the circumstances of the relevant Issuer (or a related party), such as dividends, profits or the value of the relevant Issuer's stock (although a rate does not fail to be an objective rate merely because it is based on the credit quality of the relevant Issuer). Other variable interest rates may be treated as objective rates if so designated by the IRS in the future. Despite the foregoing, a variable rate of interest on a Variable Interest Rate Security will not constitute an objective rate if it is reasonably expected that the average value of the rate during the first half of the Variable Interest Rate Security's term will be either significantly less than or significantly greater than the average value of the rate during the final half of the Variable Interest Rate Security's term. </w:t>
      </w:r>
    </w:p>
    <w:p w14:paraId="2FCFD570" w14:textId="77777777" w:rsidR="009527F8" w:rsidRPr="00494D8C" w:rsidRDefault="009527F8" w:rsidP="006770F0">
      <w:pPr>
        <w:pStyle w:val="NormalOCAshurst"/>
        <w:ind w:left="567"/>
      </w:pPr>
      <w:r w:rsidRPr="00494D8C">
        <w:t>A "</w:t>
      </w:r>
      <w:r w:rsidRPr="00494D8C">
        <w:rPr>
          <w:b/>
        </w:rPr>
        <w:t>qualified inverse floating rate</w:t>
      </w:r>
      <w:r w:rsidRPr="00494D8C">
        <w:fldChar w:fldCharType="begin"/>
      </w:r>
      <w:r w:rsidRPr="00494D8C">
        <w:instrText xml:space="preserve"> XE "qualified inverse floating rate" </w:instrText>
      </w:r>
      <w:r w:rsidRPr="00494D8C">
        <w:fldChar w:fldCharType="end"/>
      </w:r>
      <w:r w:rsidRPr="00494D8C">
        <w:t>" is any objective rate where the rate is equal to a fixed rate minus a qualified floating rate, as long as variations in the rate can reasonably be expected to inversely reflect contemporaneous variations in the qualified floating rate. If a Variable Interest Rate Security provides for stated interest at a fixed rate for an initial period of one year or less followed by a variable rate that is either a qualified floating rate or an objective rate for a subsequent period and if the variable rate on the Variable Interest Rate Security's issue date is intended to approximate the fixed rate (e.g., the value of the variable rate on the issue date does not differ from the value of the fixed rate by more than 25 basis points), then the fixed rate and the variable rate together will constitute either a single qualified floating rate or objective rate, as the case may be.</w:t>
      </w:r>
    </w:p>
    <w:p w14:paraId="533C095F" w14:textId="77777777" w:rsidR="009527F8" w:rsidRPr="00494D8C" w:rsidRDefault="009527F8" w:rsidP="006770F0">
      <w:pPr>
        <w:pStyle w:val="NormalOCAshurst"/>
        <w:ind w:left="567"/>
      </w:pPr>
      <w:r w:rsidRPr="00494D8C">
        <w:lastRenderedPageBreak/>
        <w:t>A qualified floating rate or objective rate in effect at any time during the term of the instrument must be set at a "</w:t>
      </w:r>
      <w:r w:rsidRPr="00494D8C">
        <w:rPr>
          <w:b/>
        </w:rPr>
        <w:t>current value</w:t>
      </w:r>
      <w:r w:rsidRPr="00494D8C">
        <w:fldChar w:fldCharType="begin"/>
      </w:r>
      <w:r w:rsidRPr="00494D8C">
        <w:instrText xml:space="preserve"> XE "current value" </w:instrText>
      </w:r>
      <w:r w:rsidRPr="00494D8C">
        <w:fldChar w:fldCharType="end"/>
      </w:r>
      <w:r w:rsidRPr="00494D8C">
        <w:t>" of that rate. A "current value" of a rate is the value of the rate on any day that is no earlier than three months prior to the first day on which that value is in effect and no later than one year following that first day.</w:t>
      </w:r>
    </w:p>
    <w:p w14:paraId="414059A1" w14:textId="77777777" w:rsidR="009527F8" w:rsidRPr="00494D8C" w:rsidRDefault="009527F8" w:rsidP="006770F0">
      <w:pPr>
        <w:pStyle w:val="NormalOCAshurst"/>
        <w:ind w:left="567"/>
      </w:pPr>
      <w:r w:rsidRPr="00494D8C">
        <w:t xml:space="preserve">If a Variable Interest Rate Security provides for stated interest at either a single qualified floating rate or a single objective rate throughout the term thereof, then any stated interest on the Variable Interest Rate Security which is unconditionally payable in cash or property (other than debt instruments of the relevant Issuer) at least annually will constitute qualified stated interest and will be taxed accordingly. Thus, a Variable Interest Rate Security that provides for stated interest at either a single qualified floating rate or a single objective rate throughout the term thereof generally will not be treated as having been issued with OID unless the Variable Interest Rate Security is issued at a "true" discount (i.e., at a price below the Variable Interest Rate Security's stated principal amount) in excess of a specified </w:t>
      </w:r>
      <w:r w:rsidRPr="00494D8C">
        <w:rPr>
          <w:i/>
        </w:rPr>
        <w:t>de minimis</w:t>
      </w:r>
      <w:r w:rsidRPr="00494D8C">
        <w:t xml:space="preserve"> amount. OID on a Variable Interest Rate Security arising from "true" discount is allocated to an accrual period using the constant yield method described above by assuming that the variable rate is a fixed rate equal to (i) in the case of a qualified floating rate or qualified inverse floating rate, the value, as of the issue date, of the qualified floating rate or qualified inverse floating rate, or (ii) in the case of an objective rate (other than a qualified inverse floating rate), a fixed rate that reflects the yield that is reasonably expected for the Variable Interest Rate Security. </w:t>
      </w:r>
    </w:p>
    <w:p w14:paraId="5CBB4057" w14:textId="77777777" w:rsidR="009527F8" w:rsidRPr="00494D8C" w:rsidRDefault="009527F8" w:rsidP="006770F0">
      <w:pPr>
        <w:pStyle w:val="NormalOCAshurst"/>
        <w:ind w:left="567"/>
      </w:pPr>
      <w:r w:rsidRPr="00494D8C">
        <w:t>In general, any other Variable Interest Rate Security will be converted into an "equivalent" fixed rate debt instrument for the purposes of determining the amount and accrual of OID and qualified stated interest on the Variable Interest Rate Security. Such a Variable Interest Rate Security must be converted into an "equivalent" fixed rate debt instrument by substituting any qualified floating rate or qualified inverse floating rate provided for under the terms of the Variable Interest Rate Security with a fixed rate equal to the value of the qualified floating rate or qualified inverse floating rate, as the case may be, as of the Variable Interest Rate Security's issue date. Any objective rate (other than a qualified inverse floating rate) provided for under the terms of the Variable Interest Rate Security is converted into a fixed rate that reflects the yield that is reasonably expected for the Variable Interest Rate Security. In the case of a Variable Interest Rate Security that provides for stated interest at a fixed rate in addition to either one or more qualified floating rates or a qualified inverse floating rate, the fixed rate is initially converted into a qualified floating rate (or a qualified inverse floating rate, if the Variable Interest Rate Security provides for a qualified inverse floating rate). Under these circumstances, the qualified floating rate or qualified inverse floating rate that replaces the fixed rate must be such that the fair market value of the Variable Interest Rate Security as of the Variable Interest Rate Security's issue date is approximately the same as the fair market value of an otherwise identical debt instrument that provides for either the qualified floating rate or qualified inverse floating rate rather than the fixed rate. Subsequent to converting the fixed rate into either a qualified floating rate or a qualified inverse floating rate, the Variable Interest Rate Security is converted into an "equivalent" fixed rate debt instrument in the manner described above.</w:t>
      </w:r>
    </w:p>
    <w:p w14:paraId="16A0350E" w14:textId="77777777" w:rsidR="009527F8" w:rsidRPr="00494D8C" w:rsidRDefault="009527F8" w:rsidP="006770F0">
      <w:pPr>
        <w:pStyle w:val="NormalOCAshurst"/>
        <w:ind w:left="567"/>
      </w:pPr>
      <w:r w:rsidRPr="00494D8C">
        <w:t>Once the Variable Interest Rate Security is converted into an "equivalent" fixed rate debt instrument pursuant to the foregoing rules, the amount of OID and qualified stated interest, if any, are determined for the "equivalent" fixed rate debt instrument by applying the general OID rules to the "equivalent" fixed rate debt instrument and a U.S. Holder of the Variable Interest Rate Security will account for the OID and qualified stated interest as if the U.S. Holder held the "equivalent" fixed rate debt instrument. In each accrual period, appropriate adjustments will be made to the amount of qualified stated interest or OID assumed to have been accrued or paid with respect to the "equivalent" fixed rate debt instrument in the event that these amounts differ from the actual amount of interest accrued or paid on the Variable Interest Rate Security during the accrual period.</w:t>
      </w:r>
    </w:p>
    <w:p w14:paraId="1B201FB2" w14:textId="77777777" w:rsidR="009527F8" w:rsidRPr="00494D8C" w:rsidRDefault="009527F8" w:rsidP="006770F0">
      <w:pPr>
        <w:pStyle w:val="NormalOCAshurst"/>
        <w:ind w:left="567"/>
      </w:pPr>
      <w:r w:rsidRPr="00494D8C">
        <w:t>If a Security that provides for interest at one or more variable rates does not qualify as a Variable Interest Rate Security, then the Security could be treated as a contingent payment debt obligation provided that the Security is properly treated as debt for U.S. federal income tax purposes. See "</w:t>
      </w:r>
      <w:r w:rsidRPr="00494D8C">
        <w:rPr>
          <w:i/>
        </w:rPr>
        <w:t>Contingent Payment Debt Instruments</w:t>
      </w:r>
      <w:r w:rsidRPr="00494D8C">
        <w:t>" below for a discussion of the U.S. federal income tax treatment of such Securities. In addition, a U.S. Holder of certain Securities that do not qualify as Variable Interest Rate Securities and that are subject to an alternative payment schedule or schedules applicable upon the occurrence of a contingency or contingencies may be required to determine the yield and maturity of the Securities assuming that the payments will be made according to the payment schedule that is most likely to occur if the timing and amounts of the payments that comprise each schedule are known as of the issue date, and one of such schedules is significantly more likely than not to occur.</w:t>
      </w:r>
    </w:p>
    <w:p w14:paraId="3A6CBFB0" w14:textId="77777777" w:rsidR="009527F8" w:rsidRPr="00494D8C" w:rsidRDefault="009527F8" w:rsidP="006770F0">
      <w:pPr>
        <w:pStyle w:val="NormalOCAshurst"/>
        <w:keepNext/>
        <w:ind w:left="567"/>
      </w:pPr>
      <w:r w:rsidRPr="00494D8C">
        <w:lastRenderedPageBreak/>
        <w:t>Short-Term Securities</w:t>
      </w:r>
    </w:p>
    <w:p w14:paraId="79029C79" w14:textId="77777777" w:rsidR="009527F8" w:rsidRPr="00494D8C" w:rsidRDefault="009527F8" w:rsidP="006770F0">
      <w:pPr>
        <w:pStyle w:val="NormalOCAshurst"/>
        <w:ind w:left="567"/>
      </w:pPr>
      <w:r w:rsidRPr="00494D8C">
        <w:t>In general, an individual or other cash basis U.S. Holder of a Short-Term Security is not required to accrue OID (as specially defined below for the purposes of this paragraph) for U.S. federal income tax purposes unless it elects to do so, but may be required to include any stated interest in income as the interest is received. An accrual basis U.S. Holder and certain other U.S. Holders are required to accrue OID on Short-Term Securities on a straight-line basis or, if the U.S. Holder so elects, under the constant-yield method (based on daily compounding). In the case of a U.S. Holder not required and not electing to include OID in income currently, any gain realised on the sale or retirement of the Short-Term Security will be ordinary income to the extent of the OID accrued on a straight-line basis (unless an election is made to accrue the OID under the constant-yield method) through the date of sale or retirement. A U.S. Holder who is not required and does not elect to accrue OID on Short-Term Securities will be required to defer deductions for interest on borrowings allocable to Short-Term Securities in an amount not exceeding the deferred income until the deferred income is realised.</w:t>
      </w:r>
    </w:p>
    <w:p w14:paraId="7439D07B" w14:textId="77777777" w:rsidR="009527F8" w:rsidRPr="00494D8C" w:rsidRDefault="009527F8" w:rsidP="006770F0">
      <w:pPr>
        <w:pStyle w:val="NormalOCAshurst"/>
        <w:ind w:left="567"/>
      </w:pPr>
      <w:r w:rsidRPr="00494D8C">
        <w:t>For purposes of determining the amount of OID subject to these rules, all interest payments on a Short- Term Security are included in the Short-Term Security's stated redemption price at maturity. A U.S. Holder may elect to determine OID on a Short-Term Security as if the Short-Term Security had been originally issued to the U.S. Holder at the U.S. Holder's purchase price for the Short-Term Security. This election shall apply to all obligations with a maturity of one year or less acquired by the U.S. Holder on or after the first day of the first taxable year to which the election applies, and may not be revoked without the consent of the IRS.</w:t>
      </w:r>
    </w:p>
    <w:p w14:paraId="68FFE8B4" w14:textId="77777777" w:rsidR="009527F8" w:rsidRPr="00494D8C" w:rsidRDefault="009527F8" w:rsidP="006770F0">
      <w:pPr>
        <w:pStyle w:val="NormalOCAshurst"/>
        <w:ind w:left="567"/>
      </w:pPr>
      <w:r w:rsidRPr="00494D8C">
        <w:t>Contingent Payment Debt Instruments</w:t>
      </w:r>
    </w:p>
    <w:p w14:paraId="3C8F427E" w14:textId="77777777" w:rsidR="009527F8" w:rsidRPr="00494D8C" w:rsidRDefault="009527F8" w:rsidP="006770F0">
      <w:pPr>
        <w:pStyle w:val="NormalOCAshurst"/>
        <w:ind w:left="567"/>
      </w:pPr>
      <w:r w:rsidRPr="00494D8C">
        <w:t>Certain Series or Tranches of Securities that provide for certain contingencies that affect the timing and amount of payments, including Securities with a variable rate or rates that do not qualify as Variable Interest Rate Securities as described above, may be treated as contingent payment debt instruments ("</w:t>
      </w:r>
      <w:r w:rsidRPr="00494D8C">
        <w:rPr>
          <w:b/>
        </w:rPr>
        <w:t>Contingent Securities</w:t>
      </w:r>
      <w:r w:rsidRPr="00494D8C">
        <w:rPr>
          <w:b/>
        </w:rPr>
        <w:fldChar w:fldCharType="begin"/>
      </w:r>
      <w:r w:rsidRPr="00494D8C">
        <w:instrText xml:space="preserve"> XE "Contingent Securities" </w:instrText>
      </w:r>
      <w:r w:rsidRPr="00494D8C">
        <w:rPr>
          <w:b/>
        </w:rPr>
        <w:fldChar w:fldCharType="end"/>
      </w:r>
      <w:r w:rsidRPr="00494D8C">
        <w:t>"), as opposed to Variable Interest Rate Securities, for U.S. federal income tax purposes. Under applicable U.S. Treasury regulations, interest on the Contingent Securities is treated as OID. The U.S. Holder must accrue OID on a constant-yield basis using (i) a yield to maturity that reflects the rate at which the relevant Issuer would issue a comparable fixed-rate instrument with no contingent payments but with terms and conditions otherwise similar to the Contingent Security (the "</w:t>
      </w:r>
      <w:r w:rsidRPr="00494D8C">
        <w:rPr>
          <w:b/>
        </w:rPr>
        <w:t>comparable yield</w:t>
      </w:r>
      <w:r w:rsidRPr="00494D8C">
        <w:rPr>
          <w:b/>
        </w:rPr>
        <w:fldChar w:fldCharType="begin"/>
      </w:r>
      <w:r w:rsidRPr="00494D8C">
        <w:instrText xml:space="preserve"> XE "comparable yield" </w:instrText>
      </w:r>
      <w:r w:rsidRPr="00494D8C">
        <w:rPr>
          <w:b/>
        </w:rPr>
        <w:fldChar w:fldCharType="end"/>
      </w:r>
      <w:r w:rsidRPr="00494D8C">
        <w:t>") and (ii) a projected payment schedule determined by the relevant Issuer at the time the Contingent Security is issued (the "</w:t>
      </w:r>
      <w:r w:rsidRPr="00494D8C">
        <w:rPr>
          <w:b/>
        </w:rPr>
        <w:t>projected payment schedule</w:t>
      </w:r>
      <w:r w:rsidRPr="00494D8C">
        <w:rPr>
          <w:b/>
        </w:rPr>
        <w:fldChar w:fldCharType="begin"/>
      </w:r>
      <w:r w:rsidRPr="00494D8C">
        <w:instrText xml:space="preserve"> XE "projected payment schedule" </w:instrText>
      </w:r>
      <w:r w:rsidRPr="00494D8C">
        <w:rPr>
          <w:b/>
        </w:rPr>
        <w:fldChar w:fldCharType="end"/>
      </w:r>
      <w:r w:rsidRPr="00494D8C">
        <w:t>"). This projected payment schedule must include each non-contingent payment on the Contingent Security and an estimated amount for each contingent payment, and must produce the comparable yield. Interest inclusions will be adjusted upward and downward to reflect the difference, if any, between the actual payments received and the projected amount of such payments on the Contingent Securities under the projected payment schedule. Special rules apply to the sale or other disposition of a Contingent Security. See "</w:t>
      </w:r>
      <w:r w:rsidRPr="00494D8C">
        <w:rPr>
          <w:i/>
        </w:rPr>
        <w:t>Sale, Retirement or Other Taxable Disposition of Securities</w:t>
      </w:r>
      <w:r w:rsidRPr="00494D8C">
        <w:t>" below.</w:t>
      </w:r>
    </w:p>
    <w:p w14:paraId="5EF6B456" w14:textId="77777777" w:rsidR="009527F8" w:rsidRPr="00494D8C" w:rsidRDefault="009527F8" w:rsidP="006770F0">
      <w:pPr>
        <w:pStyle w:val="NormalOCAshurst"/>
        <w:ind w:left="567"/>
      </w:pPr>
      <w:r w:rsidRPr="00494D8C">
        <w:t>The relevant Issuer generally is required to provide to Holders, solely for U.S. federal income tax purposes, a schedule of the projected amounts of payments on Contingent Securities. A U.S. Holder of a Contingent Security may submit a written request for the schedule to the attention of J.P. Morgan Securities LLC at 383 Madison Avenue, 5th Floor, New York, New York 10179, United States of America, or such other address as may be provided in the relevant Pricing Supplement.</w:t>
      </w:r>
    </w:p>
    <w:p w14:paraId="39713BE8" w14:textId="77777777" w:rsidR="009527F8" w:rsidRPr="00494D8C" w:rsidRDefault="009527F8" w:rsidP="006770F0">
      <w:pPr>
        <w:pStyle w:val="NormalOCAshurst"/>
        <w:ind w:left="567"/>
      </w:pPr>
      <w:r w:rsidRPr="00494D8C">
        <w:t>THE COMPARABLE YIELD AND PROJECTED PAYMENT SCHEDULE WILL NOT BE DETERMINED FOR ANY PURPOSE OTHER THAN FOR THE DETERMINATION OF INTEREST ACCRUALS AND ADJUSTMENTS THEREOF IN RESPECT OF CONTINGENT SECURITIES FOR UNITED STATES FEDERAL INCOME TAX PURPOSES AND WILL NOT CONSTITUTE A PROJECTION OR REPRESENTATION REGARDING THE ACTUAL AMOUNTS PAYABLE TO THE HOLDERS OF THE SECURITIES.</w:t>
      </w:r>
    </w:p>
    <w:p w14:paraId="48140600" w14:textId="77777777" w:rsidR="009527F8" w:rsidRPr="00494D8C" w:rsidRDefault="009527F8" w:rsidP="006770F0">
      <w:pPr>
        <w:pStyle w:val="NormalOCAshurst"/>
        <w:ind w:left="567"/>
      </w:pPr>
      <w:r w:rsidRPr="00494D8C">
        <w:t xml:space="preserve">A U.S. Holder generally will be bound by the comparable yield and the projected payment schedule determined by the relevant Issuer unless the U.S. Holder determines its own comparable yield and projected payment schedule and explicitly discloses such schedule to the IRS, and explains to the IRS the reason for preparing its own schedule. The relevant Issuer's determination, however, is not binding on the IRS, and it </w:t>
      </w:r>
      <w:r w:rsidRPr="00494D8C">
        <w:lastRenderedPageBreak/>
        <w:t>is possible that the IRS could conclude that some other comparable yield or projected payment schedule should be used instead.</w:t>
      </w:r>
    </w:p>
    <w:p w14:paraId="43371C38" w14:textId="77777777" w:rsidR="009527F8" w:rsidRPr="00494D8C" w:rsidRDefault="009527F8" w:rsidP="006770F0">
      <w:pPr>
        <w:pStyle w:val="NormalOCAshurst"/>
        <w:ind w:left="567"/>
      </w:pPr>
      <w:r w:rsidRPr="00494D8C">
        <w:t>A U.S. Holder of a Contingent Security generally will be required to include in income the sum of the daily portions of OID with respect to the Contingent Security for each day during the taxable year or portion of the taxable year in which the U.S. Holder holds the Contingent Security, generally as described above in "Original Issue Discount" above. For these purposes, the "</w:t>
      </w:r>
      <w:r w:rsidRPr="00494D8C">
        <w:rPr>
          <w:b/>
        </w:rPr>
        <w:t>adjusted issue price</w:t>
      </w:r>
      <w:r w:rsidRPr="00494D8C">
        <w:rPr>
          <w:b/>
        </w:rPr>
        <w:fldChar w:fldCharType="begin"/>
      </w:r>
      <w:r w:rsidRPr="00494D8C">
        <w:instrText xml:space="preserve"> XE "adjusted issue price" </w:instrText>
      </w:r>
      <w:r w:rsidRPr="00494D8C">
        <w:rPr>
          <w:b/>
        </w:rPr>
        <w:fldChar w:fldCharType="end"/>
      </w:r>
      <w:r w:rsidRPr="00494D8C">
        <w:t>" of a Contingent Security at the beginning of any accrual period is the issue price of the Contingent Security increased by the amount of accrued OID for each prior accrual period, and decreased by the projected amount of any payments made on the Contingent Security. No additional income will be recognised upon the receipt of payments of stated interest in amounts equal to the annual payments included in the projected payment schedule described above. Any net differences between actual payments received by the U.S. Holder on the Contingent Security in a taxable year and the projected amounts of those payments will be accounted for as additional interest (in the case of a net positive adjustment) or as an offset to interest income in respect of the Security (in the case of a net negative adjustment), for that taxable year. If the net negative adjustment for a taxable year exceeds the amount of interest on the Contingent Security for that year, the excess will be treated as an ordinary loss in that year, but only to the extent the U.S. Holder's total interest inclusions on the Contingent Security exceed the total amount of any ordinary loss in respect of the Contingent Security claimed by the U.S. Holder under this rule in prior taxable years. Any net negative adjustment that is not allowed as an ordinary loss for the taxable year is carried forward to the next taxable year, and is taken into account in determining whether the U.S. Holder has a net positive or negative adjustment for that year. Any net negative adjustment that is carried forward to a taxable year in which the U.S. Holder sells or taxably disposes of the Contingent Security reduces the U.S. Holder's amount realised on the sale or other taxable disposition.</w:t>
      </w:r>
    </w:p>
    <w:p w14:paraId="3442719A" w14:textId="77777777" w:rsidR="009527F8" w:rsidRPr="00494D8C" w:rsidRDefault="009527F8" w:rsidP="006770F0">
      <w:pPr>
        <w:pStyle w:val="NormalOCAshurst"/>
        <w:ind w:left="567"/>
      </w:pPr>
      <w:r w:rsidRPr="00494D8C">
        <w:t>If a U.S. Holder purchases a Contingent Security for an amount that differs from the Security's adjusted issue price at the time of the purchase, such U.S. Holder must determine the extent to which the difference between the price it paid for the Security and the adjusted issue price of the Security is attributable to a change in expectations as to the projected payment schedule, a change in interest rates, or both, and reasonably allocate the difference accordingly. A safe-harbour may apply to permit the allocation of this difference pro-rata to OID accruals if the Contingent Security is exchange listed property, as defined in applicable U.S. Treasury Regulations.</w:t>
      </w:r>
    </w:p>
    <w:p w14:paraId="740CF1F1" w14:textId="77777777" w:rsidR="009527F8" w:rsidRPr="00494D8C" w:rsidRDefault="009527F8" w:rsidP="006770F0">
      <w:pPr>
        <w:pStyle w:val="NormalOCAshurst"/>
        <w:ind w:left="567"/>
      </w:pPr>
      <w:r w:rsidRPr="00494D8C">
        <w:t>If a U.S. Holder purchases a Contingent Security for an amount that is less than the adjusted issue price of the Security, the amount of the difference allocated to a daily portion of OID or to a projected payment is treated as a positive adjustment to such Holder's income inclusion on the date the OID accrues or the payment is made. If a U.S. Holder purchases a Contingent Security for an amount that is more than the adjusted issue price of the Security, the amount of the difference allocated to a daily portion of OID or to a projected payment is treated as a negative adjustment to such U.S. Holder's income inclusion on the date the OID accrues or the payment is made.</w:t>
      </w:r>
    </w:p>
    <w:p w14:paraId="2FAA91F4" w14:textId="77777777" w:rsidR="009527F8" w:rsidRPr="00494D8C" w:rsidRDefault="009527F8" w:rsidP="006770F0">
      <w:pPr>
        <w:pStyle w:val="NormalOCAshurst"/>
        <w:ind w:left="567"/>
      </w:pPr>
      <w:r w:rsidRPr="00494D8C">
        <w:t>Because any Form 1099-OID that a U.S. Holder receives will not reflect the effects of positive or negative adjustments resulting from its purchase of a Contingent Security at a price other than the adjusted issue price as determined for U.S. federal income tax purposes, U.S. Holders are urged to consult with their tax advisors as to whether and how adjustments should be made to the amounts reported on any Form 1099-OID.</w:t>
      </w:r>
    </w:p>
    <w:p w14:paraId="3DAE0A98" w14:textId="77777777" w:rsidR="009527F8" w:rsidRPr="00494D8C" w:rsidRDefault="009527F8" w:rsidP="006770F0">
      <w:pPr>
        <w:pStyle w:val="NormalOCAshurst"/>
        <w:ind w:left="567"/>
      </w:pPr>
      <w:r w:rsidRPr="00494D8C">
        <w:t xml:space="preserve">Special rules may apply if all the remaining payments on a Contingent Security become fixed substantially contemporaneously. For this purpose, payments will be treated as fixed if the remaining contingencies with respect to them are remote or incidental. Under these rules, a U.S. Holder would be required to account for the difference between the original projected payments and the fixed payments in a reasonable manner over the period to which the difference relates. In addition, a U.S. Holder would be required to make adjustments to, among other things, its accrual periods and its tax basis in the Contingent Security. The character of any gain or loss on a sale or other taxable disposition of the Contingent Security also might be affected. If one or more (but not all) contingent payments on a Contingent Security became fixed more than six months prior to the relevant payment date(s), a U.S. Holder would be required to account for the difference between the original projected payment(s) and the fixed payment(s) on a present value basis. Prospective purchasers of Contingent Securities should consult their tax advisors regarding the application of these rules. </w:t>
      </w:r>
    </w:p>
    <w:p w14:paraId="58D93199" w14:textId="77777777" w:rsidR="009527F8" w:rsidRPr="00494D8C" w:rsidRDefault="009527F8" w:rsidP="006770F0">
      <w:pPr>
        <w:pStyle w:val="NormalOCAshurst"/>
        <w:ind w:left="567"/>
      </w:pPr>
      <w:r w:rsidRPr="00494D8C">
        <w:t>Foreign Currency Securities Other than Foreign Currency Contingent Securities</w:t>
      </w:r>
    </w:p>
    <w:p w14:paraId="1F50A642" w14:textId="77777777" w:rsidR="009527F8" w:rsidRPr="00494D8C" w:rsidRDefault="009527F8" w:rsidP="006770F0">
      <w:pPr>
        <w:pStyle w:val="NormalOCAshurst"/>
        <w:ind w:left="567"/>
      </w:pPr>
      <w:r w:rsidRPr="00494D8C">
        <w:lastRenderedPageBreak/>
        <w:t>If payments of qualified stated interest are made in respect of a Security that is denominated in a single currency other than the U.S. dollar (for purposes of this discussion, a "foreign currency"), the amount of interest income realised by a U.S. Holder that uses the cash method of tax accounting (a cash-method holder) will be the U.S. dollar value of the interest payment based on the spot rate of exchange on the date of receipt regardless of whether the payment in fact is converted into U.S. dollars. No foreign currency gain or loss should be recognised by a cash-method holder with respect to the receipt of such payment (other than foreign currency gain or loss realised on the disposition of the currency received). In the case of a Security that provides for payments in U.S. dollars determined by reference to a single foreign currency, a cash-method holder generally should recognise interest income on the Security in an amount equal to the U.S. dollars received. Both types of Securities are referred to herein as "</w:t>
      </w:r>
      <w:r w:rsidRPr="00494D8C">
        <w:rPr>
          <w:b/>
        </w:rPr>
        <w:t>Foreign Currency Securities</w:t>
      </w:r>
      <w:r w:rsidRPr="00494D8C">
        <w:rPr>
          <w:b/>
        </w:rPr>
        <w:fldChar w:fldCharType="begin"/>
      </w:r>
      <w:r w:rsidRPr="00494D8C">
        <w:instrText xml:space="preserve"> XE "Foreign Currency Securities" </w:instrText>
      </w:r>
      <w:r w:rsidRPr="00494D8C">
        <w:rPr>
          <w:b/>
        </w:rPr>
        <w:fldChar w:fldCharType="end"/>
      </w:r>
      <w:r w:rsidRPr="00494D8C">
        <w:t xml:space="preserve">". </w:t>
      </w:r>
    </w:p>
    <w:p w14:paraId="7406E620" w14:textId="77777777" w:rsidR="009527F8" w:rsidRPr="00494D8C" w:rsidRDefault="009527F8" w:rsidP="006770F0">
      <w:pPr>
        <w:pStyle w:val="NormalOCAshurst"/>
        <w:ind w:left="567"/>
      </w:pPr>
      <w:r w:rsidRPr="00494D8C">
        <w:t>A U.S. Holder that uses the accrual method of tax accounting (an accrual-method holder) will accrue interest income (other than OID) on a Foreign Currency Security in the relevant foreign currency. In the case of a Foreign Currency Security (other than a Foreign Currency Contingent Security) that is also a Discount Security, a U.S. Holder should determine the U.S. dollar amount includible in income as OID for each accrual period by calculating the amount of OID allocable to that accrual period in the relevant foreign currency, using the constant-yield method described above under "Original Issue Discount". The interest income accrued or amount of OID determined should then be translated into U.S. dollars based on (i) the average exchange rate in effect during the interest accrual period, or portion thereof within the U.S. Holder's taxable year, or (ii) at the U.S. Holder's election, at the spot rate of exchange on (1) the last day of the accrual period, or the last day of the taxable year within the accrual period if the accrual period spans more than one taxable year, or (2) the date of receipt (or, in the case of OID, on the date such OID is treated as paid, as described above under "Original Issue Discount"), if that date is within five business days of the last day of the accrual period. Such an election must be applied consistently by the U.S. Holder to all Foreign Currency Securities from year to year and can be revoked only with the consent of the IRS.</w:t>
      </w:r>
    </w:p>
    <w:p w14:paraId="47B743A6" w14:textId="77777777" w:rsidR="009527F8" w:rsidRPr="00494D8C" w:rsidRDefault="009527F8" w:rsidP="006770F0">
      <w:pPr>
        <w:pStyle w:val="NormalOCAshurst"/>
        <w:ind w:left="567"/>
      </w:pPr>
      <w:r w:rsidRPr="00494D8C">
        <w:t>Upon receipt of an interest payment (including a payment attributable to accrued but unpaid interest upon the sale, retirement or other taxable disposition of a Security) denominated in, or determined by reference to, a foreign currency, a U.S. Holder may recognise U.S. source exchange gain or loss (taxable as ordinary income or loss) in an amount equal to the difference between the amount received (translated into U.S. dollars at the spot rate on the date of receipt) and the amount previously accrued, regardless of whether the payment is in fact converted into U.S. dollars.</w:t>
      </w:r>
    </w:p>
    <w:p w14:paraId="5CAB120B" w14:textId="77777777" w:rsidR="009527F8" w:rsidRPr="00494D8C" w:rsidRDefault="009527F8" w:rsidP="006770F0">
      <w:pPr>
        <w:pStyle w:val="NormalOCAshurst"/>
        <w:ind w:left="567"/>
      </w:pPr>
      <w:r w:rsidRPr="00494D8C">
        <w:t>Upon receipt of an amount attributable to OID (whether in connection with a payment on the Security or a sale of the Security), a U.S. Holder may recognise U.S. source exchange gain or loss (taxable as ordinary income or loss) in an amount equal to the difference between the amount received (translated into U.S. dollars at the spot rate on the date of receipt) and the corresponding amount(s) previously accrued, regardless of whether the payment is in fact converted into U.S. dollars.</w:t>
      </w:r>
    </w:p>
    <w:p w14:paraId="29E00890" w14:textId="77777777" w:rsidR="009527F8" w:rsidRPr="00494D8C" w:rsidRDefault="009527F8" w:rsidP="006770F0">
      <w:pPr>
        <w:pStyle w:val="NormalOCAshurst"/>
        <w:ind w:left="567"/>
      </w:pPr>
      <w:r w:rsidRPr="00494D8C">
        <w:t>Market Discount on a Security that is denominated in, or determined by reference to, a foreign currency, will be accrued in the foreign currency. If the U.S. Holder elects to include market discount in income currently, the accrued market discount will be translated into U.S. dollars at the average exchange rate for the accrual period (or portion thereof within the U.S. Holder's taxable year). Upon the receipt of an amount attributable to accrued market discount, the U.S. Holder may recognise U.S. source exchange gain or loss (which will be taxable as ordinary income or loss) determined in the same manner as for accrued interest or OID. A U.S. Holder that does not elect to include market discount in income currently will recognise, upon the disposition or maturity of the Security, the U.S. dollar value of the amount accrued, calculated at the spot rate on that date, and no part of this accrued market discount will be treated as exchange gain or loss.</w:t>
      </w:r>
    </w:p>
    <w:p w14:paraId="12B54A9E" w14:textId="77777777" w:rsidR="009527F8" w:rsidRPr="00494D8C" w:rsidRDefault="009527F8" w:rsidP="006770F0">
      <w:pPr>
        <w:pStyle w:val="NormalOCAshurst"/>
        <w:ind w:left="567"/>
      </w:pPr>
      <w:r w:rsidRPr="00494D8C">
        <w:t>Bond premium (including acquisition premium) on a Security that is denominated in, or determined by reference to, a foreign currency, will be computed in units of the foreign currency, and any such bond premium that is taken into account currently will reduce interest income in units of the foreign currency. On the date bond premium offsets interest income, a U.S. Holder may recognise U.S. source exchange gain or loss (taxable as ordinary income or loss) measured by the difference between the spot rate in effect on that date, and on the date the Securities were acquired by the U.S. Holder. A U.S. Holder that does not elect to take bond premium (other than acquisition premium) into account currently will recognise a loss when the Security matures.</w:t>
      </w:r>
    </w:p>
    <w:p w14:paraId="4FFC3BC1" w14:textId="77777777" w:rsidR="009527F8" w:rsidRPr="00494D8C" w:rsidRDefault="009527F8" w:rsidP="006770F0">
      <w:pPr>
        <w:pStyle w:val="NormalOCAshurst"/>
        <w:keepNext/>
        <w:ind w:left="567"/>
      </w:pPr>
      <w:r w:rsidRPr="00494D8C">
        <w:lastRenderedPageBreak/>
        <w:t>Foreign Currency Contingent Securities</w:t>
      </w:r>
    </w:p>
    <w:p w14:paraId="1A8D4956" w14:textId="77777777" w:rsidR="009527F8" w:rsidRPr="00494D8C" w:rsidRDefault="009527F8" w:rsidP="006770F0">
      <w:pPr>
        <w:pStyle w:val="NormalOCAshurst"/>
        <w:ind w:left="567"/>
      </w:pPr>
      <w:r w:rsidRPr="00494D8C">
        <w:t>Special rules apply to determine the accrual of OID, and the amount, timing, source and character of any gain or loss on a Contingent Security that is denominated in, or determined by reference to, a foreign currency (a "</w:t>
      </w:r>
      <w:r w:rsidRPr="00494D8C">
        <w:rPr>
          <w:b/>
        </w:rPr>
        <w:t>Foreign Currency Contingent Security</w:t>
      </w:r>
      <w:r w:rsidRPr="00494D8C">
        <w:rPr>
          <w:b/>
        </w:rPr>
        <w:fldChar w:fldCharType="begin"/>
      </w:r>
      <w:r w:rsidRPr="00494D8C">
        <w:instrText xml:space="preserve"> XE "Foreign Currency Contingent Security" </w:instrText>
      </w:r>
      <w:r w:rsidRPr="00494D8C">
        <w:rPr>
          <w:b/>
        </w:rPr>
        <w:fldChar w:fldCharType="end"/>
      </w:r>
      <w:r w:rsidRPr="00494D8C">
        <w:t xml:space="preserve">"). The rules applicable to Foreign Currency Contingent Securities are complex, and U.S. Holders are urged to consult their tax advisers concerning the application of these rules. The term "Foreign Currency Contingent Security" also applies to certain debt instruments denominated in, or providing for payments determined by reference to, multiple currencies. </w:t>
      </w:r>
    </w:p>
    <w:p w14:paraId="39432323" w14:textId="77777777" w:rsidR="009527F8" w:rsidRPr="00494D8C" w:rsidRDefault="009527F8" w:rsidP="006770F0">
      <w:pPr>
        <w:pStyle w:val="NormalOCAshurst"/>
        <w:ind w:left="567"/>
      </w:pPr>
      <w:r w:rsidRPr="00494D8C">
        <w:t xml:space="preserve">Under these rules, a U.S. Holder of a Foreign Currency Contingent Security generally will be required to accrue OID in the foreign currency in which the Foreign Currency Contingent Security is denominated, if applicable, or in the foreign currency with reference to which payments on the Security are determined (or, in the case of a Foreign Currency Contingent Security that has payments determined by reference to more than one foreign currency, in the "predominant currency" determined under applicable U.S. Treasury regulations) (the relevant foreign currency). A U.S. Holder of a Foreign Currency Contingent Security will apply rules similar to those applicable to Contingent Securities, as described above under "Contingent Payment Debt Instruments", to determine OID accruals, account for net positive or net negative adjustments, and calculate income or loss on the taxable disposition of the Foreign Currency Contingent Security. All such determinations are made in the relevant foreign currency. </w:t>
      </w:r>
    </w:p>
    <w:p w14:paraId="5FA7C6B6" w14:textId="77777777" w:rsidR="009527F8" w:rsidRPr="00494D8C" w:rsidRDefault="009527F8" w:rsidP="006770F0">
      <w:pPr>
        <w:pStyle w:val="NormalOCAshurst"/>
        <w:ind w:left="567"/>
      </w:pPr>
      <w:r w:rsidRPr="00494D8C">
        <w:t>A highly complex set of rules governs the translation into U.S. dollars of the amounts determined in the relevant foreign currency and the related determination of foreign currency gain or loss. Prospective purchasers of Foreign Currency Contingent Securities should consult their tax advisors regarding these rules. A U.S. Holder might be required to file a disclosure statement with the IRS if the U.S. Holder recognises foreign currency loss above certain thresholds (as described below under "Reportable Transactions").</w:t>
      </w:r>
    </w:p>
    <w:p w14:paraId="427F1B85" w14:textId="77777777" w:rsidR="009527F8" w:rsidRPr="00494D8C" w:rsidRDefault="009527F8" w:rsidP="006770F0">
      <w:pPr>
        <w:pStyle w:val="NormalOCAshurst"/>
        <w:ind w:left="567"/>
      </w:pPr>
      <w:r w:rsidRPr="00494D8C">
        <w:t>Fungibility Issue</w:t>
      </w:r>
    </w:p>
    <w:p w14:paraId="214F8A45" w14:textId="77777777" w:rsidR="009527F8" w:rsidRPr="00494D8C" w:rsidRDefault="009527F8" w:rsidP="006770F0">
      <w:pPr>
        <w:pStyle w:val="NormalOCAshurst"/>
        <w:ind w:left="567"/>
      </w:pPr>
      <w:r w:rsidRPr="00494D8C">
        <w:t>The relevant Issuer may, without the consent of the Holders of outstanding Securities, issue additional Securities with identical terms. These additional Securities, even if they are treated for non-tax purposes as part of the same series as the original Securities, in some cases may be treated as part of a separate issue for U.S. federal income tax purposes. In such a case, the additional Securities may be considered to have been issued with OID even if the original Securities had no OID, or the additional Securities may have a greater amount of OID than the original Securities. These differences may affect the market value of the original Securities if the additional Securities are not otherwise distinguishable from the original Securities.</w:t>
      </w:r>
    </w:p>
    <w:p w14:paraId="03784173" w14:textId="77777777" w:rsidR="009527F8" w:rsidRPr="00494D8C" w:rsidRDefault="009527F8" w:rsidP="006770F0">
      <w:pPr>
        <w:pStyle w:val="NormalOCAshurst"/>
        <w:ind w:left="567"/>
      </w:pPr>
      <w:r w:rsidRPr="00494D8C">
        <w:t>Amortisable Bond Premium</w:t>
      </w:r>
    </w:p>
    <w:p w14:paraId="37739E16" w14:textId="77777777" w:rsidR="009527F8" w:rsidRPr="00494D8C" w:rsidRDefault="009527F8" w:rsidP="006770F0">
      <w:pPr>
        <w:pStyle w:val="NormalOCAshurst"/>
        <w:ind w:left="567"/>
      </w:pPr>
      <w:r w:rsidRPr="00494D8C">
        <w:t>A U.S. Holder that purchases a Security for an amount in excess of its principal amount, or for a Discount Security, its stated redemption price at maturity, may elect to treat the excess as "</w:t>
      </w:r>
      <w:r w:rsidRPr="00494D8C">
        <w:rPr>
          <w:b/>
        </w:rPr>
        <w:t>amortisable</w:t>
      </w:r>
      <w:r w:rsidRPr="00494D8C">
        <w:fldChar w:fldCharType="begin"/>
      </w:r>
      <w:r w:rsidRPr="00494D8C">
        <w:instrText xml:space="preserve"> XE "amortisable" </w:instrText>
      </w:r>
      <w:r w:rsidRPr="00494D8C">
        <w:fldChar w:fldCharType="end"/>
      </w:r>
      <w:r w:rsidRPr="00494D8C">
        <w:t>" within the meaning of section 171 of the Code in which case the amount required to be included in the U.S. Holder's income each year with respect to interest on the Security will be reduced by the amount of amortisable bond premium allocable (based on the Security's yield to maturity or in some cases its earlier call date) to that year. Any election to amortise bond premium will apply to all bonds held by the U.S. Holder at the beginning of the first taxable year to which the election applies or thereafter acquired by the U.S. Holder, and is irrevocable without the consent of the IRS.</w:t>
      </w:r>
    </w:p>
    <w:p w14:paraId="69848C81" w14:textId="77777777" w:rsidR="009527F8" w:rsidRPr="00494D8C" w:rsidRDefault="009527F8" w:rsidP="006770F0">
      <w:pPr>
        <w:pStyle w:val="NormalOCAshurst"/>
        <w:keepNext/>
        <w:ind w:left="567"/>
      </w:pPr>
      <w:r w:rsidRPr="00494D8C">
        <w:t>Sale, Retirement or Other Taxable Disposition of Securities</w:t>
      </w:r>
    </w:p>
    <w:p w14:paraId="1D0F1AE4" w14:textId="77777777" w:rsidR="009527F8" w:rsidRPr="00494D8C" w:rsidRDefault="009527F8" w:rsidP="006770F0">
      <w:pPr>
        <w:pStyle w:val="NormalOCAshurst"/>
        <w:ind w:left="567"/>
      </w:pPr>
      <w:r w:rsidRPr="00494D8C">
        <w:t xml:space="preserve">A U.S. Holder generally will recognise gain or loss on the sale, retirement or other taxable disposition of a Security equal to the difference between the amount realised on the sale or retirement and the tax basis of the Security. Except to the extent described above under "Market Discount" or "Short Term Securities" or described below in relation to Contingent Securities or attributable to accrued but unpaid interest (which will be taxable as interest income to the extent not previously included in income) or changes in exchange rates, gain or loss recognised on the sale, retirement or other taxable disposition of a Security will be capital gain or loss and will be long-term capital gain or loss if the U.S. Holder's holding period in the Securities exceeds one year. Gain or loss realised by a U.S. Holder on the sale, retirement or other taxable disposition of a Security generally will be U.S. source. A U.S. Holder's tax basis in a Security generally will be its cost, increased by the amount of any OID or market discount included in the U.S. Holder's income with </w:t>
      </w:r>
      <w:r w:rsidRPr="00494D8C">
        <w:lastRenderedPageBreak/>
        <w:t xml:space="preserve">respect to the Security and the amount, if any, of income attributable to </w:t>
      </w:r>
      <w:r w:rsidRPr="00494D8C">
        <w:rPr>
          <w:i/>
        </w:rPr>
        <w:t>de minimis</w:t>
      </w:r>
      <w:r w:rsidRPr="00494D8C">
        <w:t xml:space="preserve"> OID and </w:t>
      </w:r>
      <w:r w:rsidRPr="00494D8C">
        <w:rPr>
          <w:i/>
        </w:rPr>
        <w:t>de minimis</w:t>
      </w:r>
      <w:r w:rsidRPr="00494D8C">
        <w:t xml:space="preserve"> market discount included in the U.S. Holder's income with respect to the Security, and reduced by (i) the amount of any payments that are not qualified stated interest payments, and (ii) the amount of any amortisable bond premium applied to reduce interest on the Security.</w:t>
      </w:r>
    </w:p>
    <w:p w14:paraId="67875120" w14:textId="77777777" w:rsidR="009527F8" w:rsidRPr="00494D8C" w:rsidRDefault="009527F8" w:rsidP="006770F0">
      <w:pPr>
        <w:pStyle w:val="NormalOCAshurst"/>
        <w:ind w:left="567"/>
      </w:pPr>
      <w:r w:rsidRPr="00494D8C">
        <w:t xml:space="preserve">Gain from the sale, retirement or other taxable disposition (including an exchange of the Contingent Security for an underlier) of a Contingent Security will be treated as interest income taxable at ordinary income (rather than capital gains) rates. Any loss will be ordinary loss to the extent that the U.S. Holder's total interest inclusions to the date of sale, retirement or other taxable disposition exceed the total net negative adjustments that the U.S. Holder took into account as ordinary loss, and any further loss will be capital loss. Gain or loss realised by a U.S. Holder on the sale, retirement or other taxable disposition of a Contingent Security will be U.S. source. A U.S. Holder's tax basis in a Contingent Security generally will be equal to its cost, increased by the amount of OID previously accrued with respect to the Security (determined without regard to any positive or negative adjustments reflecting the difference between actual payments and projected payments), increased or decreased by the amount of any positive or negative adjustment that the U.S. Holder is required to take into account for the difference between such U.S. Holder's purchase price for the Security and the adjusted issue price of the Security at the time of the purchase, and decreased by the amount of any projected payments scheduled to be made on the Security to the U.S. Holder (without regard to the actual amount paid). At maturity, a U.S. Holder of a Contingent Security will be treated as receiving the projected amount for that date (reduced by any </w:t>
      </w:r>
      <w:proofErr w:type="spellStart"/>
      <w:r w:rsidRPr="00494D8C">
        <w:t>carryforward</w:t>
      </w:r>
      <w:proofErr w:type="spellEnd"/>
      <w:r w:rsidRPr="00494D8C">
        <w:t xml:space="preserve"> of a net negative adjustment), and any difference between the amount received and that projected amount will be treated as a positive or negative adjustment.</w:t>
      </w:r>
    </w:p>
    <w:p w14:paraId="4D403096" w14:textId="77777777" w:rsidR="009527F8" w:rsidRPr="00494D8C" w:rsidRDefault="009527F8" w:rsidP="006770F0">
      <w:pPr>
        <w:pStyle w:val="NormalOCAshurst"/>
        <w:ind w:left="567"/>
      </w:pPr>
      <w:r w:rsidRPr="00494D8C">
        <w:t>For purposes of determining gain or loss upon the sale, retirement or other taxable disposition of a Foreign Currency Security other than a Foreign Currency Contingent Security (a "</w:t>
      </w:r>
      <w:r w:rsidRPr="00494D8C">
        <w:rPr>
          <w:b/>
          <w:bCs/>
        </w:rPr>
        <w:t>noncontingent Foreign Currency Security</w:t>
      </w:r>
      <w:r w:rsidRPr="00494D8C">
        <w:fldChar w:fldCharType="begin"/>
      </w:r>
      <w:r w:rsidRPr="00494D8C">
        <w:instrText xml:space="preserve"> XE "noncontingent Foreign Currency Security" </w:instrText>
      </w:r>
      <w:r w:rsidRPr="00494D8C">
        <w:fldChar w:fldCharType="end"/>
      </w:r>
      <w:r w:rsidRPr="00494D8C">
        <w:t>"), a U.S. Holder's tax basis in the Foreign Currency Security will be determined by reference to the U.S. dollar cost of the Foreign Currency Security. The U.S. dollar cost of a Security purchased with foreign currency generally will be the U.S. dollar value of the purchase price on the date of purchase, or on the settlement date in the case of a purchase by a cash basis U.S. Holder (or an accrual basis U.S. Holder that so elects) of a Security traded on an established securities market, as defined in applicable U.S. Treasury regulations (a "</w:t>
      </w:r>
      <w:r w:rsidRPr="00494D8C">
        <w:rPr>
          <w:b/>
          <w:bCs/>
        </w:rPr>
        <w:t>traded Security</w:t>
      </w:r>
      <w:r w:rsidRPr="00494D8C">
        <w:fldChar w:fldCharType="begin"/>
      </w:r>
      <w:r w:rsidRPr="00494D8C">
        <w:instrText xml:space="preserve"> XE "traded Security" </w:instrText>
      </w:r>
      <w:r w:rsidRPr="00494D8C">
        <w:fldChar w:fldCharType="end"/>
      </w:r>
      <w:r w:rsidRPr="00494D8C">
        <w:t>"). The amount realised on a sale, retirement or other taxable disposition of a noncontingent Foreign Currency Security for an amount in foreign currency will be the U.S. dollar value of the foreign currency amount on the date of the sale, retirement or disposition, or the settlement date in the case of a sale or other taxable disposition by a cash basis U.S. Holder (or an accrual basis U.S. Holder that so elects) of a traded Security. Such an election by an accrual basis U.S. Holder must be applied consistently from year to year and cannot be revoked without the consent of the IRS. A U.S. Holder will recognise U.S. source exchange rate gain or loss (taxable as ordinary income or loss) on the sale, retirement or other taxable disposition of a noncontingent Foreign Currency Security in amount equal to the difference, if any, between the U.S. dollar value of the U.S. Holder's purchase price for the Foreign Currency Security (or, if less, the principal amount of the Foreign Currency Security) (i) on the date of sale, retirement or disposition and (ii) the date on which the U.S. Holder acquired the Foreign Currency Security. Any such exchange rate gain or loss will be realised only to the extent of total gain or loss realised on the sale, retirement or disposition. A U.S. Holder that does not determine its amount realised on the settlement date of the sale, retirement or disposition will also recognise U.S. source exchange rate gain or loss on the difference between the U.S. dollar amount realised and the U.S. dollar value of the foreign currency on the settlement date.</w:t>
      </w:r>
    </w:p>
    <w:p w14:paraId="3294BCEA" w14:textId="77777777" w:rsidR="009527F8" w:rsidRPr="00494D8C" w:rsidRDefault="009527F8" w:rsidP="006770F0">
      <w:pPr>
        <w:pStyle w:val="NormalOCAshurst"/>
        <w:ind w:left="567"/>
      </w:pPr>
      <w:r w:rsidRPr="00494D8C">
        <w:t>For purposes of determining gain or loss upon a sale, retirement or other taxable disposition of a Foreign Currency Contingent Security, a U.S. Holder's tax basis and amount realised for the Security will be translated into U.S. dollars. Special rules apply to determine the amount, timing, and character of any such gain or loss. A U.S. Holder of a Foreign Currency Contingent Security will apply rules similar to those applicable to Contingent Securities, as described above, to calculate such gain or loss. Such calculation is made in the relevant foreign currency. A highly complex set of rules governs the translation into U.S. dollars of the amount of gain or loss calculated in the relevant foreign currency, and the determination of related foreign currency gain or loss. Prospective purchasers of Foreign Currency Contingent Securities should consult their tax advisors regarding these rules. A U.S. Holder may be required to file a disclosure statement with the IRS if the U.S. Holder recognises foreign currency loss above certain thresholds (as described below under "</w:t>
      </w:r>
      <w:r w:rsidRPr="00494D8C">
        <w:rPr>
          <w:b/>
          <w:bCs/>
        </w:rPr>
        <w:t>Reportable Transactions</w:t>
      </w:r>
      <w:r w:rsidRPr="00494D8C">
        <w:fldChar w:fldCharType="begin"/>
      </w:r>
      <w:r w:rsidRPr="00494D8C">
        <w:instrText xml:space="preserve"> XE "Reportable Transactions" </w:instrText>
      </w:r>
      <w:r w:rsidRPr="00494D8C">
        <w:fldChar w:fldCharType="end"/>
      </w:r>
      <w:r w:rsidRPr="00494D8C">
        <w:t>").</w:t>
      </w:r>
    </w:p>
    <w:p w14:paraId="0F202F5B" w14:textId="77777777" w:rsidR="009527F8" w:rsidRPr="00494D8C" w:rsidRDefault="009527F8" w:rsidP="006770F0">
      <w:pPr>
        <w:pStyle w:val="NormalOCAshurst"/>
        <w:ind w:left="567"/>
      </w:pPr>
      <w:r w:rsidRPr="00494D8C">
        <w:t>Receipt of Foreign Currency</w:t>
      </w:r>
    </w:p>
    <w:p w14:paraId="60C5816F" w14:textId="77777777" w:rsidR="009527F8" w:rsidRPr="00494D8C" w:rsidRDefault="009527F8" w:rsidP="006770F0">
      <w:pPr>
        <w:pStyle w:val="NormalOCAshurst"/>
        <w:ind w:left="567"/>
      </w:pPr>
      <w:r w:rsidRPr="00494D8C">
        <w:lastRenderedPageBreak/>
        <w:t>Upon receipt of an interest payment (including a payment attributable to accrued but unpaid interest upon the sale or retirement of a Security) denominated in, or determined by reference to, a foreign currency, a U.S. Holder may recognise U.S. source exchange gain or loss (taxable as ordinary income or loss) in an amount equal to the difference between the amount received (translated into U.S. dollars at the spot rate on the date of receipt) and the amount previously accrued, regardless of whether the payment is in fact converted into U.S. dollars.</w:t>
      </w:r>
    </w:p>
    <w:p w14:paraId="14037530" w14:textId="77777777" w:rsidR="009527F8" w:rsidRPr="00494D8C" w:rsidRDefault="009527F8" w:rsidP="006770F0">
      <w:pPr>
        <w:pStyle w:val="NormalOCAshurst"/>
        <w:ind w:left="567"/>
      </w:pPr>
      <w:r w:rsidRPr="00494D8C">
        <w:t>Disposition of Foreign Currency</w:t>
      </w:r>
    </w:p>
    <w:p w14:paraId="63B3818F" w14:textId="77777777" w:rsidR="009527F8" w:rsidRPr="00494D8C" w:rsidRDefault="009527F8" w:rsidP="006770F0">
      <w:pPr>
        <w:pStyle w:val="NormalOCAshurst"/>
        <w:ind w:left="567"/>
      </w:pPr>
      <w:r w:rsidRPr="00494D8C">
        <w:t>Foreign currency received as interest on a Security or on the sale, retirement or other taxable disposition of a Security will have a tax basis equal to its U.S. dollar value at the time the foreign currency is received. Foreign currency that is purchased generally will have a tax basis equal to the U.S. dollar value of the foreign currency on the date of purchase. Any gain or loss recognised on a sale or other disposition of a foreign currency (including its use to purchase Securities or upon exchange for U.S. dollars) will be U.S. source ordinary income or loss.</w:t>
      </w:r>
    </w:p>
    <w:p w14:paraId="787E43F5" w14:textId="77777777" w:rsidR="009527F8" w:rsidRPr="00494D8C" w:rsidRDefault="009527F8" w:rsidP="006770F0">
      <w:pPr>
        <w:pStyle w:val="NormalOCAshurst"/>
        <w:ind w:left="567"/>
        <w:rPr>
          <w:b/>
          <w:i/>
        </w:rPr>
      </w:pPr>
      <w:r w:rsidRPr="00494D8C">
        <w:rPr>
          <w:b/>
          <w:i/>
        </w:rPr>
        <w:t>U.S. Federal Income Tax Treatment of Securities Treated as other than Debt</w:t>
      </w:r>
    </w:p>
    <w:p w14:paraId="1F01F542" w14:textId="77777777" w:rsidR="009527F8" w:rsidRPr="00494D8C" w:rsidRDefault="009527F8" w:rsidP="006770F0">
      <w:pPr>
        <w:pStyle w:val="NormalOCAshurst"/>
        <w:ind w:left="567"/>
        <w:rPr>
          <w:i/>
        </w:rPr>
      </w:pPr>
      <w:r w:rsidRPr="00494D8C">
        <w:rPr>
          <w:i/>
        </w:rPr>
        <w:t xml:space="preserve">The following summary may apply to certain Securities that are not treated as debt for U.S. federal income tax purposes. This summary does not discuss all types of Securities that may be treated as other than debt for U.S. federal income tax purposes. The applicable Pricing Supplement may discuss additional U.S. federal income tax considerations </w:t>
      </w:r>
      <w:proofErr w:type="spellStart"/>
      <w:r w:rsidRPr="00494D8C">
        <w:rPr>
          <w:i/>
        </w:rPr>
        <w:t>arsing</w:t>
      </w:r>
      <w:proofErr w:type="spellEnd"/>
      <w:r w:rsidRPr="00494D8C">
        <w:rPr>
          <w:i/>
        </w:rPr>
        <w:t xml:space="preserve"> from an investment in a Security.</w:t>
      </w:r>
    </w:p>
    <w:p w14:paraId="292AA425" w14:textId="77777777" w:rsidR="009527F8" w:rsidRPr="00494D8C" w:rsidRDefault="009527F8" w:rsidP="006770F0">
      <w:pPr>
        <w:pStyle w:val="NormalOCAshurst"/>
        <w:ind w:left="567"/>
      </w:pPr>
      <w:r w:rsidRPr="00494D8C">
        <w:t>Securities characterised as other than debt may, depending on their terms, properly be characterised as options or collateralised options written or held by the U.S. Holder, pre-paid forward contracts, or other pre-paid derivative contracts.  A Security that provides for interim payments may be characterised as a notional principal contract, a pre-paid derivative contract with contingent coupons, or a unit comprised of a pre-paid derivative and a separate interest-bearing deposit that collateralises a U.S. Holder's obligations under that derivative. In either case, alternative characterisations are also possible.</w:t>
      </w:r>
    </w:p>
    <w:p w14:paraId="63E7D7A3" w14:textId="77777777" w:rsidR="009527F8" w:rsidRPr="00494D8C" w:rsidRDefault="009527F8" w:rsidP="006770F0">
      <w:pPr>
        <w:pStyle w:val="NormalOCAshurst"/>
        <w:ind w:left="567"/>
      </w:pPr>
      <w:r w:rsidRPr="00494D8C">
        <w:t>Securities Treated as other than Prepaid Forward Contracts or Prepaid Derivative Contracts</w:t>
      </w:r>
    </w:p>
    <w:p w14:paraId="50486AE5" w14:textId="77777777" w:rsidR="009527F8" w:rsidRPr="00494D8C" w:rsidRDefault="009527F8" w:rsidP="006770F0">
      <w:pPr>
        <w:pStyle w:val="NormalOCAshurst"/>
        <w:ind w:left="567"/>
      </w:pPr>
      <w:r w:rsidRPr="00494D8C">
        <w:t xml:space="preserve">A Security that provides for periodic payments and is not treated as a prepaid forward contract or prepaid derivative contract may potentially be treated as a notional principal contract, or as a unit comprised of one or more options or forward contracts collateralised by an interest bearing deposit. If a Security is characterised as a unit comprised of one or more options or forward contracts collateralised by an interest bearing deposit, all or a portion of the periodic payments may be treated as interest on the deposit. Amounts not treated as deposit interest could still constitute ordinary income. In either case, periodic payments may be required to be included in ordinary income rather than taken into account in computing the gain or loss from the Security. To the extent a Security is treated as including, in addition to the option or instrument being settled, other additional options that are deemed to lapse, it is possible that some amount attributable to the premium on those other options would be recognised even if no cash premium is stated to be payable to the U.S. Holder. Otherwise, gain or loss to a U.S. Holder generally would be recognised and determined when the Security is settled based on the difference between the amounts received under the Security and the U.S. Holder's tax basis in the Security. Such gain or loss generally would be capital gain or loss. </w:t>
      </w:r>
    </w:p>
    <w:p w14:paraId="0539B580" w14:textId="77777777" w:rsidR="009527F8" w:rsidRPr="00494D8C" w:rsidRDefault="009527F8" w:rsidP="006770F0">
      <w:pPr>
        <w:pStyle w:val="NormalOCAshurst"/>
        <w:ind w:left="567"/>
      </w:pPr>
      <w:r w:rsidRPr="00494D8C">
        <w:t>If a Security were treated as a notional principal contract, a U.S. Holder also may be required to treat as ordinary income, rather than capital gain, payments received pursuant to the terms of the Security at maturity. To the extent the U.S. Holder were treated as having made (or received) a "nonperiodic payment" under the notional principal contract (for example, an upfront payment), the Issuer currently intends to bifurcate the payment and the notional principal contract into a loan and a separate contract only if the nonperiodic payment is "significant." However, it is possible that notional principal contracts with any nonperiodic payment (including a payment that is not significant) may, subject to certain limited exceptions, become subject to bifurcation. Amounts deemed to be interest on the loan generally would be characterised as such for most U.S. federal income tax purposes. To the extent the U.S. Holder were treated as having made (or received) a nonperiodic payment that was not treated as a separate loan, the nonperiodic payment would generally be amortised into income or as an expense over time with any income being treated as ordinary income and any expense being treated as an ordinary investment expense, which in the case of an individual is treated as a miscellaneous itemised deduction. Miscellaneous itemised deductions are not available for alternative minimum tax purposes and, for calendar years 2018 through 2025, for regular tax purposes.</w:t>
      </w:r>
    </w:p>
    <w:p w14:paraId="11F4AEF8" w14:textId="77777777" w:rsidR="009527F8" w:rsidRPr="00494D8C" w:rsidRDefault="009527F8" w:rsidP="006770F0">
      <w:pPr>
        <w:pStyle w:val="NormalOCAshurst"/>
        <w:ind w:left="567"/>
      </w:pPr>
      <w:r w:rsidRPr="00494D8C">
        <w:lastRenderedPageBreak/>
        <w:t>The U.S. Treasury also has issued proposed regulations governing the treatment of swaps that provide for contingent nonperiodic payments which could alter the timing and character of payments under Securities treated as notional principal contracts. The proposed regulations would generally require taxpayers either to accrue contingent payments under a complex "noncontingent swap method" in advance of receiving the income or, if certain requirements are met, account for the swap on a mark to market basis. The noncontingent swap method and mark-to-market method are not mandated until 30 days after the proposed regulations are finalised. However, the preamble to the proposed regulations states that taxpayers that have not previously adopted a method of accounting for contingent swaps must immediately begin accruing contingent nonperiodic payments under any "reasonable amortisation method" (including the noncontingent swap method or the mark-to-market method) and the preamble indicates that the IRS does not consider a "wait and see" method to be reasonable for this purpose. It is unclear when the proposed regulations will be finalised and whether final regulations will differ from the proposed regulations.</w:t>
      </w:r>
    </w:p>
    <w:p w14:paraId="72E90DCC" w14:textId="77777777" w:rsidR="009527F8" w:rsidRPr="00494D8C" w:rsidRDefault="009527F8" w:rsidP="006770F0">
      <w:pPr>
        <w:pStyle w:val="NormalOCAshurst"/>
        <w:ind w:left="567"/>
      </w:pPr>
      <w:r w:rsidRPr="00494D8C">
        <w:t xml:space="preserve">Securities Treated as Prepaid Forward Contracts or Prepaid Derivative Contracts with No Periodic Payments </w:t>
      </w:r>
    </w:p>
    <w:p w14:paraId="71C343AB" w14:textId="77777777" w:rsidR="009527F8" w:rsidRPr="00494D8C" w:rsidRDefault="009527F8" w:rsidP="006770F0">
      <w:pPr>
        <w:pStyle w:val="NormalOCAshurst"/>
        <w:ind w:left="567"/>
      </w:pPr>
      <w:r w:rsidRPr="00494D8C">
        <w:t>In general, in the case of a Security that does not provide for payments prior to maturity and is properly treated as a forward contract, variable prepaid forward contract or derivative contract, subject to the discussion below concerning "Constructive Ownership Transactions", a U.S. Holder generally should recognise capital gain or loss upon the sale, maturity or other taxable disposition of the Security in an amount equal to the difference between the amount a U.S. Holder realizes on such sale, maturity or other taxable disposition and the U.S. Holder's basis in the Security. In general, a U.S. Holder’s tax basis in the Security will be equal to the price the U.S. Holder paid for the Security. Subject to the discussions under "Possible Higher Tax on Securities Linked to 'Collectibles'" and "Constructive Ownership Transactions", this gain or loss should be long-term capital gain or loss if at the time of the taxable disposition the U.S. Holder has held the Security for more than one year, and short-term capital gain or loss otherwise. Long-term capital gains recognized by non-corporate U.S. Holders are generally subject to taxation at reduced rates. The deductibility of capital losses is subject to limitations. The holding period for Securities will generally begin on the date after the U.S. Holder acquires the Security.</w:t>
      </w:r>
    </w:p>
    <w:p w14:paraId="6B07DB00" w14:textId="77777777" w:rsidR="009527F8" w:rsidRPr="00494D8C" w:rsidRDefault="009527F8" w:rsidP="006770F0">
      <w:pPr>
        <w:pStyle w:val="NormalOCAshurst"/>
        <w:ind w:left="567"/>
      </w:pPr>
      <w:r w:rsidRPr="00494D8C">
        <w:t>It is possible that the IRS could assert that a U.S. Holder’s holding period in respect of the Securities should end on the date on which the amount the U.S. Holder is entitled to receive upon the maturity of the Securities is determined, even though the U.S. Holder will not receive any amounts from the issuer in respect of the Securities prior to the maturity of the Securities. In such case, the timing and character of income a U.S. Holder recognizes in respect of the Securities may be affected.</w:t>
      </w:r>
    </w:p>
    <w:p w14:paraId="27696DC9" w14:textId="77777777" w:rsidR="009527F8" w:rsidRPr="00494D8C" w:rsidRDefault="009527F8" w:rsidP="006770F0">
      <w:pPr>
        <w:pStyle w:val="NormalOCAshurst"/>
        <w:ind w:left="567"/>
      </w:pPr>
      <w:r w:rsidRPr="00494D8C">
        <w:t xml:space="preserve">Securities Treated as Prepaid Forward Contracts with Contingent Coupon Payments or Prepaid Derivative Contracts with Contingent Coupon Payments </w:t>
      </w:r>
    </w:p>
    <w:p w14:paraId="12A58952" w14:textId="77777777" w:rsidR="009527F8" w:rsidRPr="00494D8C" w:rsidRDefault="009527F8" w:rsidP="006770F0">
      <w:pPr>
        <w:pStyle w:val="NormalOCAshurst"/>
        <w:ind w:left="567"/>
      </w:pPr>
      <w:r w:rsidRPr="00494D8C">
        <w:t>Although the U.S. federal income tax treatment of the contingent coupon payments is uncertain, the relevant Issuer intends to take the position, and the following discussion assumes, that such contingent coupon payments (including any contingent coupon payment on or with respect to the maturity date) constitute taxable ordinary income at the time received or accrued in accordance with a U.S. Holder's regular method of accounting. Except where stated otherwise, the discussion herein assumes that the contingent coupon payments are taxable as ordinary income at the time received or accrued in accordance with a U.S. Holder's regular method of tax accounting.</w:t>
      </w:r>
    </w:p>
    <w:p w14:paraId="7391C556" w14:textId="77777777" w:rsidR="009527F8" w:rsidRPr="00494D8C" w:rsidRDefault="009527F8" w:rsidP="006770F0">
      <w:pPr>
        <w:pStyle w:val="NormalOCAshurst"/>
        <w:ind w:left="567"/>
      </w:pPr>
      <w:r w:rsidRPr="00494D8C">
        <w:t>Upon a taxable disposition (including a sale, exchange, early redemption, or retirement) of a Security, a U.S. Holder should recognize gain or loss equal to the difference between the amount realized and a U.S. Holder's tax basis in the Security. A U.S. Holder's tax basis in a Security should generally equal the amount paid to acquire it. Subject to the discussions under "Possible Higher Tax on Securities Linked to 'Collectibles'" and "Constructive Ownership Transactions", this gain or loss should be long-term capital gain or loss if at the time of the taxable disposition the U.S. Holder has held the Security for more than one year, and short-term capital gain or loss otherwise. Long-term capital gains recognized by non-corporate U.S. Holders are generally subject to taxation at reduced rates. The deductibility of capital losses is subject to limitations.</w:t>
      </w:r>
    </w:p>
    <w:p w14:paraId="3A4C5713" w14:textId="77777777" w:rsidR="009527F8" w:rsidRPr="00494D8C" w:rsidRDefault="009527F8" w:rsidP="006770F0">
      <w:pPr>
        <w:pStyle w:val="NormalOCAshurst"/>
        <w:ind w:left="567"/>
      </w:pPr>
      <w:r w:rsidRPr="00494D8C">
        <w:t xml:space="preserve">It is possible that the IRS could assert that a U.S. Holder's holding period in respect of the Securities should end on the date on which the amount the U.S. Holder is entitled to receive upon the call or maturity of the Securities is determined, even though the U.S. Holder will not receive any amounts from the relevant Issuer </w:t>
      </w:r>
      <w:r w:rsidRPr="00494D8C">
        <w:lastRenderedPageBreak/>
        <w:t>in respect of the Securities prior to the call or maturity of the Securities. In such case, the timing and character of income a U.S. Holder recognizes in respect of the securities may be affected.</w:t>
      </w:r>
    </w:p>
    <w:p w14:paraId="1DB53DDC" w14:textId="77777777" w:rsidR="009527F8" w:rsidRPr="00494D8C" w:rsidRDefault="009527F8" w:rsidP="006770F0">
      <w:pPr>
        <w:pStyle w:val="NormalOCAshurst"/>
        <w:ind w:left="567"/>
      </w:pPr>
      <w:r w:rsidRPr="00494D8C">
        <w:t xml:space="preserve">Alternative Tax Treatments </w:t>
      </w:r>
    </w:p>
    <w:p w14:paraId="4D12DF1D" w14:textId="53AAEA94" w:rsidR="009527F8" w:rsidRPr="00494D8C" w:rsidRDefault="009527F8" w:rsidP="006770F0">
      <w:pPr>
        <w:pStyle w:val="NormalOCAshurst"/>
        <w:ind w:left="567"/>
      </w:pPr>
      <w:r w:rsidRPr="00494D8C">
        <w:t>Alternative tax treatments of the Securities are also possible and the IRS might assert that a treatment other than that described above is more appropriate. For example, it is possible to treat the Securities, and the IRS might assert that the Securities should be treated, as a single debt instrument. If the Securities have a term that exceeds one year, such a debt instrument would be subject to the special tax rules governing contingent payment debt instruments. If the Securities are so treated, a U.S. Holder would generally be required to accrue interest currently over the term of the Securities regardless of any current payments made on the Securities. In addition, any gain a U.S. Holder might recognize upon the call, sale or maturity of the Securities would generally be ordinary income and any loss recognized by a U.S</w:t>
      </w:r>
      <w:r w:rsidR="00973444" w:rsidRPr="00494D8C">
        <w:t>.</w:t>
      </w:r>
      <w:r w:rsidRPr="00494D8C">
        <w:t xml:space="preserve"> Holder at such time would be ordinary loss to the extent of interest that same U.S. Holder included in income in the current or previous taxable years in respect of the Securities, and thereafter, would be capital loss. If the Securities are treated as a single debt instrument that has a term of no more than one year, the Securities would be treated as a single short-term debt instrument, which would also result in tax consequences that are different from those described above.</w:t>
      </w:r>
    </w:p>
    <w:p w14:paraId="68062C3B" w14:textId="77777777" w:rsidR="009527F8" w:rsidRPr="00494D8C" w:rsidRDefault="009527F8" w:rsidP="006770F0">
      <w:pPr>
        <w:pStyle w:val="NormalOCAshurst"/>
        <w:ind w:left="567"/>
      </w:pPr>
      <w:r w:rsidRPr="00494D8C">
        <w:t>Because of the absence of authority regarding the appropriate tax characterization of the Securities, it is also possible that the IRS could seek to characterise the Securities in a manner that results in other tax consequences that are different from those described above. For example, the IRS could possibly assert that any gain or loss that a U.S. Holder may recognize upon the call, sale or maturity of the Securities should be treated as ordinary gain or loss.</w:t>
      </w:r>
    </w:p>
    <w:p w14:paraId="4FDBC553" w14:textId="77777777" w:rsidR="009527F8" w:rsidRPr="00494D8C" w:rsidRDefault="009527F8" w:rsidP="006770F0">
      <w:pPr>
        <w:pStyle w:val="NormalOCAshurst"/>
        <w:ind w:left="567"/>
      </w:pPr>
      <w:r w:rsidRPr="00494D8C">
        <w:t xml:space="preserve">The IRS has released a notice that may affect the taxation of investors in of the Securities. According to the notice, the IRS and the U.S. Treasury are actively considering whether holders of certain instruments should be required to accrue ordinary income on a current basis regardless of any current payments made on the instruments. It is not possible to determine what guidance will ultimately be issued, if any. It is possible, however, that under such guidance, U.S. Holders of the Securities will ultimately be required to accrue income currently and this could be applied on a retroactive basis. The IRS and the U.S. Treasury are also considering other relevant issues, including whether additional gain or loss from such instruments should be treated as ordinary or capital and whether the special "constructive ownership rules" of Section 1260 of the Code, which generally operate to </w:t>
      </w:r>
      <w:proofErr w:type="spellStart"/>
      <w:r w:rsidRPr="00494D8C">
        <w:t>recharacterise</w:t>
      </w:r>
      <w:proofErr w:type="spellEnd"/>
      <w:r w:rsidRPr="00494D8C">
        <w:t xml:space="preserve"> certain long-term capital gains as ordinary income and impose an interest charge, might be applied to such instruments. Further, future legislation, including legislation based on bills previously introduced in Congress, may tax all derivative instruments on a mark-to-market basis, requiring holders of such derivative instruments to take into account annually gains and losses on such instruments as ordinary income. The adoption of such legislation or similar proposals may significantly impact the tax consequences from an investment in the Securities, including the timing and character of income and gain on the Securities. U.S. Holders should consult their tax advisor as to the tax consequences of possible alternative characterizations of their Security for U.S. federal income tax purposes and proposals to change the taxation of certain derivative instruments. </w:t>
      </w:r>
    </w:p>
    <w:p w14:paraId="3D2DDE97" w14:textId="77777777" w:rsidR="009527F8" w:rsidRPr="00494D8C" w:rsidRDefault="009527F8" w:rsidP="006770F0">
      <w:pPr>
        <w:pStyle w:val="NormalOCAshurst"/>
        <w:ind w:left="567"/>
      </w:pPr>
      <w:r w:rsidRPr="00494D8C">
        <w:t>Notwithstanding the general discussion above, in the case of a Security that permits the U.S. Issuer or Holder to vary the terms, for example by allowing discretionary substitution of reference property, such changes could be deemed to result in a deemed exchange of the Security for a new Security for federal income tax purposes and gain or loss could be recognised in advance of maturity. If a Security is treated as exchanged for a new Security reissued, the characterisation of the "new" Security as debt, option, forward agreement, notional principal contract or other derivative financial product may change and the "new" Security may be treated as being issued with original issue discount or bond premium or having significant nonperiodic payments or other nonperiodic payments. U.S. Holders should consult their tax advisers concerning the U.S. federal income tax consequences to them of changes in certain terms of the Securities.</w:t>
      </w:r>
    </w:p>
    <w:p w14:paraId="23C10DBD" w14:textId="77777777" w:rsidR="009527F8" w:rsidRPr="00494D8C" w:rsidRDefault="009527F8" w:rsidP="006770F0">
      <w:pPr>
        <w:pStyle w:val="NormalOCAshurst"/>
        <w:ind w:left="567"/>
      </w:pPr>
      <w:r w:rsidRPr="00494D8C">
        <w:t xml:space="preserve">Physical Settlement </w:t>
      </w:r>
    </w:p>
    <w:p w14:paraId="4038DF0E" w14:textId="77777777" w:rsidR="009527F8" w:rsidRPr="00494D8C" w:rsidRDefault="009527F8" w:rsidP="006770F0">
      <w:pPr>
        <w:pStyle w:val="NormalOCAshurst"/>
        <w:ind w:left="567"/>
      </w:pPr>
      <w:r w:rsidRPr="00494D8C">
        <w:t xml:space="preserve">If the Securities are settled by physical delivery of a number of shares of a Reference Asset at maturity, although no assurances can be provided in this regard, a U.S. Holder may generally expect not to recognize gain or loss upon maturity. However, a U.S. Holder would generally be required to recognize gain or loss, if any, with respect to any cash received in lieu of fractional shares, equal to the difference between the cash received and the pro rata portion of the tax basis allocable to those fractional shares. Any such gain </w:t>
      </w:r>
      <w:r w:rsidRPr="00494D8C">
        <w:lastRenderedPageBreak/>
        <w:t>or loss would be treated as capital gain or loss, subject to the discussion below concerning the potential application of the "constructive ownership" rules under Section 1260 of the Code. A U.S. Holder’s tax basis in the shares of the Reference Asset delivered would generally equal its tax basis in the Securities, other than any amount allocable to a fractional share. A U.S. Holder’s holding period for the shares of the Reference Asset delivered would begin on the day after the shares of the Reference Asset are received. In the case of a Security denominated in a currency other than the United States dollar, all or a portion of the amount recognised may be treated as foreign currency gain or loss. Foreign currency gain or loss recognised by a U.S. Holder (generally, the gain or loss attributable to changes in value of the foreign currency relative to the dollar) would be treated as ordinary income rather than capital gain.</w:t>
      </w:r>
    </w:p>
    <w:p w14:paraId="60D1FC4B" w14:textId="77777777" w:rsidR="009527F8" w:rsidRPr="00494D8C" w:rsidRDefault="009527F8" w:rsidP="006770F0">
      <w:pPr>
        <w:pStyle w:val="NormalOCAshurst"/>
        <w:ind w:left="567"/>
      </w:pPr>
      <w:r w:rsidRPr="00494D8C">
        <w:t>Constructive Ownership Transactions</w:t>
      </w:r>
    </w:p>
    <w:p w14:paraId="72C8ABC6" w14:textId="77777777" w:rsidR="009527F8" w:rsidRPr="00494D8C" w:rsidRDefault="009527F8" w:rsidP="006770F0">
      <w:pPr>
        <w:pStyle w:val="NormalOCAshurst"/>
        <w:ind w:left="567"/>
      </w:pPr>
      <w:r w:rsidRPr="00494D8C">
        <w:t>If the Reference Asset is the type of financial asset described under Section 1260 of the Code (including, among others, any equity interest in pass-thru entities such as ETFs, regulated investment companies, real estate investment trusts, partnerships, and passive foreign investment companies, each a "</w:t>
      </w:r>
      <w:r w:rsidRPr="00494D8C">
        <w:rPr>
          <w:b/>
          <w:bCs/>
        </w:rPr>
        <w:t>Section 1260 Financial Asset</w:t>
      </w:r>
      <w:r w:rsidRPr="00494D8C">
        <w:fldChar w:fldCharType="begin"/>
      </w:r>
      <w:r w:rsidRPr="00494D8C">
        <w:instrText xml:space="preserve"> XE "Section 1260 Financial Asset" </w:instrText>
      </w:r>
      <w:r w:rsidRPr="00494D8C">
        <w:fldChar w:fldCharType="end"/>
      </w:r>
      <w:r w:rsidRPr="00494D8C">
        <w:t xml:space="preserve">"), while the matter is not entirely clear, unless otherwise specified in the relevant Pricing Supplement, there exists a substantial risk that an investment in a Security is, in whole or in part, a "constructive ownership transaction" to which Section 1260 of the Code applies. If Section 1260 of the Code applies, all or a portion of any long-term capital gain recognized by a U.S. Holder in respect of a Security will be </w:t>
      </w:r>
      <w:proofErr w:type="spellStart"/>
      <w:r w:rsidRPr="00494D8C">
        <w:t>recharacterised</w:t>
      </w:r>
      <w:proofErr w:type="spellEnd"/>
      <w:r w:rsidRPr="00494D8C">
        <w:t xml:space="preserve"> as ordinary income (the "</w:t>
      </w:r>
      <w:r w:rsidRPr="00494D8C">
        <w:rPr>
          <w:b/>
          <w:bCs/>
        </w:rPr>
        <w:t>Excess Gain</w:t>
      </w:r>
      <w:r w:rsidRPr="00494D8C">
        <w:fldChar w:fldCharType="begin"/>
      </w:r>
      <w:r w:rsidRPr="00494D8C">
        <w:instrText xml:space="preserve"> XE "Excess Gain" </w:instrText>
      </w:r>
      <w:r w:rsidRPr="00494D8C">
        <w:fldChar w:fldCharType="end"/>
      </w:r>
      <w:r w:rsidRPr="00494D8C">
        <w:t>"). In addition, an interest charge will also apply to any deemed underpayment of tax in respect of any Excess Gain to the extent such gain would have resulted in gross income inclusion for the U.S. Holder in taxable years prior to the taxable year of the call, sale, or maturity (assuming such income accrued at a constant rate equal to the applicable federal rate as of the date of call, sale, or maturity).</w:t>
      </w:r>
    </w:p>
    <w:p w14:paraId="1772C5AA" w14:textId="77777777" w:rsidR="009527F8" w:rsidRPr="00494D8C" w:rsidRDefault="009527F8" w:rsidP="006770F0">
      <w:pPr>
        <w:pStyle w:val="NormalOCAshurst"/>
        <w:ind w:left="567"/>
      </w:pPr>
      <w:r w:rsidRPr="00494D8C">
        <w:t xml:space="preserve">If an investment in a Security is treated as a constructive ownership transaction, it is not clear to what extent any long-term capital gain of a U.S. Holder in respect of the Security will be </w:t>
      </w:r>
      <w:proofErr w:type="spellStart"/>
      <w:r w:rsidRPr="00494D8C">
        <w:t>recharacterised</w:t>
      </w:r>
      <w:proofErr w:type="spellEnd"/>
      <w:r w:rsidRPr="00494D8C">
        <w:t xml:space="preserve"> as ordinary income. It is possible, for example, that the amount of the Excess Gain (if any) that would be </w:t>
      </w:r>
      <w:proofErr w:type="spellStart"/>
      <w:r w:rsidRPr="00494D8C">
        <w:t>recharacterised</w:t>
      </w:r>
      <w:proofErr w:type="spellEnd"/>
      <w:r w:rsidRPr="00494D8C">
        <w:t xml:space="preserve"> as ordinary income in respect of the Security will equal the excess of (i) any long-term capital gain recognized by the U.S. Holder in respect of the Security and attributable to Section 1260 Financial Assets, over (ii) the "net underlying long-term capital gain" (as defined in Section 1260 of the Internal Revenue Code) such U.S. Holder would have had if such U.S. Holder had acquired an amount of the corresponding Section 1260 Financial Assets at fair market value on the original issue date for an amount equal to the portion of the issue price of the Security attributable to the corresponding Section 1260 Financial Assets and sold such amount of Section 1260 Financial Assets upon the date of call, sale, or maturity of the Security at fair market value. To the extent any gain is treated as long-term capital gain after application of the recharacterization rules of Section 1260 of the Code, such gain would be subject to U.S. federal income tax at the rates that would have been applicable to the net underlying long-term capital gain. However, unless otherwise established by clear and convincing evidence, the net underlying long-term capital gain is treated as zero. U.S. Holders should consult their tax advisors regarding the potential application of Section 1260 of the Code to an investment in the Security.</w:t>
      </w:r>
    </w:p>
    <w:p w14:paraId="2915D29E" w14:textId="77777777" w:rsidR="009527F8" w:rsidRPr="00494D8C" w:rsidRDefault="009527F8" w:rsidP="006770F0">
      <w:pPr>
        <w:pStyle w:val="NormalOCAshurst"/>
        <w:ind w:left="567"/>
      </w:pPr>
      <w:r w:rsidRPr="00494D8C">
        <w:t xml:space="preserve">In addition, as discussed below in "Possible Higher Tax on Securities Linked to ‘Collectibles,’” if the Securities are related to an ownership interest in collectibles or an entity that holds collectibles, long-term capital gain that a U.S. Holder would otherwise recognize in respect of their Securities up to the amount of the "net underlying long-term capital gain" could, if the U.S. Holder is an individual or other non-corporate investor, be subject to tax at the higher rates applicable to "collectibles" instead of the general rates that apply to long-term capital gain. </w:t>
      </w:r>
    </w:p>
    <w:p w14:paraId="453DB24B" w14:textId="77777777" w:rsidR="009527F8" w:rsidRPr="00494D8C" w:rsidRDefault="009527F8" w:rsidP="006770F0">
      <w:pPr>
        <w:pStyle w:val="NormalOCAshurst"/>
        <w:ind w:left="567"/>
      </w:pPr>
      <w:r w:rsidRPr="00494D8C">
        <w:t>To the extent the issuer of a Reference Asset is deemed to be a "passive foreign investment company" and the Security is determined to be an option for purposes of applicable regulations, certain payments received prior to the maturity date of the Security and any gains may be subject to adverse tax treatment under the rules for investments in passive foreign investment companies. In the case of an excess distribution or any gain, (i) the excess distribution or gain is allocated rateably over the U.S. Holder's holding period, (ii) the amount allocated to the current tax year is taxed as ordinary income, and (iii) the amount allocated to each previous tax year is taxed at the highest applicable marginal rate in effect for that year and an interest charge is imposed to recover the deemed benefit from the deferred payment of the tax. These rules also may effectively prevent a U.S. Holder from treating the gain realised on the disposition of the Security as capital gain. A U.S. Holder would not be able to elect to treat such an issuer of a Reference Asset as a qualified electing fund ("</w:t>
      </w:r>
      <w:r w:rsidRPr="00494D8C">
        <w:rPr>
          <w:b/>
          <w:bCs/>
        </w:rPr>
        <w:t>QEF</w:t>
      </w:r>
      <w:r w:rsidRPr="00494D8C">
        <w:fldChar w:fldCharType="begin"/>
      </w:r>
      <w:r w:rsidRPr="00494D8C">
        <w:instrText xml:space="preserve"> XE "QEF" </w:instrText>
      </w:r>
      <w:r w:rsidRPr="00494D8C">
        <w:fldChar w:fldCharType="end"/>
      </w:r>
      <w:r w:rsidRPr="00494D8C">
        <w:t xml:space="preserve">") in these circumstances to avoid these consequences. The relationship between these rules and the rules for "constructive ownership transaction" is unclear under </w:t>
      </w:r>
      <w:r w:rsidRPr="00494D8C">
        <w:lastRenderedPageBreak/>
        <w:t>current law. The relevant Issuer does not intend to determine whether the issuers of the Reference Assets in fact are passive foreign investment companies. Investors should consult their tax advisers regarding the status of the Reference Assets and the application of these rules to ownership of the Security.</w:t>
      </w:r>
    </w:p>
    <w:p w14:paraId="6AEDB83E" w14:textId="77777777" w:rsidR="009527F8" w:rsidRPr="00494D8C" w:rsidRDefault="009527F8" w:rsidP="006770F0">
      <w:pPr>
        <w:pStyle w:val="NormalOCAshurst"/>
        <w:ind w:left="567"/>
      </w:pPr>
      <w:r w:rsidRPr="00494D8C">
        <w:t>Possible Higher Tax on Securities Linked to "Collectibles"</w:t>
      </w:r>
    </w:p>
    <w:p w14:paraId="3CC209ED" w14:textId="77777777" w:rsidR="009527F8" w:rsidRPr="00494D8C" w:rsidRDefault="009527F8" w:rsidP="006770F0">
      <w:pPr>
        <w:pStyle w:val="NormalOCAshurst"/>
        <w:ind w:left="567"/>
      </w:pPr>
      <w:r w:rsidRPr="00494D8C">
        <w:t>Under current law, long-term capital gain recognized on a sale of "collectibles" (which includes, among others, metals) or an ownership interest in certain entities that hold collectibles is generally taxed at the maximum 28% rate applicable to collectibles. It is possible that long-term capital gain from a taxable disposition of certain Securities linked to a Reference Asset that is a collectible or is one of certain entities holding collectibles would be subject to the rate applicable to collectibles, instead of the lower long-term capital gain rate. Prospective investors should consult their tax advisors regarding an investment in a security linked to a collectible or to an entity holding collectibles.</w:t>
      </w:r>
    </w:p>
    <w:p w14:paraId="7B03960C" w14:textId="77777777" w:rsidR="009527F8" w:rsidRPr="00494D8C" w:rsidRDefault="009527F8" w:rsidP="006770F0">
      <w:pPr>
        <w:pStyle w:val="NormalOCAshurst"/>
        <w:ind w:left="567"/>
      </w:pPr>
      <w:r w:rsidRPr="00494D8C">
        <w:t xml:space="preserve">Specific Considerations for U.S. Holders of </w:t>
      </w:r>
      <w:proofErr w:type="spellStart"/>
      <w:r w:rsidRPr="00494D8C">
        <w:t>LEPWs</w:t>
      </w:r>
      <w:proofErr w:type="spellEnd"/>
    </w:p>
    <w:p w14:paraId="53A0391A" w14:textId="77777777" w:rsidR="009527F8" w:rsidRPr="00494D8C" w:rsidRDefault="009527F8" w:rsidP="006770F0">
      <w:pPr>
        <w:pStyle w:val="NormalOCAshurst"/>
        <w:ind w:left="567"/>
      </w:pPr>
      <w:r w:rsidRPr="00494D8C">
        <w:t xml:space="preserve">The discussion below addresses </w:t>
      </w:r>
      <w:proofErr w:type="spellStart"/>
      <w:r w:rsidRPr="00494D8C">
        <w:t>LEPWs</w:t>
      </w:r>
      <w:proofErr w:type="spellEnd"/>
      <w:r w:rsidRPr="00494D8C">
        <w:t xml:space="preserve"> with a nominal exercise price. The discussion below does not address, among other things, Warrants requiring the payment of a substantial exercise price. The discussion below assumes the relevant Pricing Supplement will provide with respect to the applicable </w:t>
      </w:r>
      <w:proofErr w:type="spellStart"/>
      <w:r w:rsidRPr="00494D8C">
        <w:t>LEPW</w:t>
      </w:r>
      <w:proofErr w:type="spellEnd"/>
      <w:r w:rsidRPr="00494D8C">
        <w:t xml:space="preserve"> that the relevant Issuer pay an amount, in redemption of the </w:t>
      </w:r>
      <w:proofErr w:type="spellStart"/>
      <w:r w:rsidRPr="00494D8C">
        <w:t>LEPW</w:t>
      </w:r>
      <w:proofErr w:type="spellEnd"/>
      <w:r w:rsidRPr="00494D8C">
        <w:t xml:space="preserve">, that is determined by reference to the fair market value of the Reference Asset for the </w:t>
      </w:r>
      <w:proofErr w:type="spellStart"/>
      <w:r w:rsidRPr="00494D8C">
        <w:t>LEPW</w:t>
      </w:r>
      <w:proofErr w:type="spellEnd"/>
      <w:r w:rsidRPr="00494D8C">
        <w:t>.</w:t>
      </w:r>
    </w:p>
    <w:p w14:paraId="44BB8644" w14:textId="77777777" w:rsidR="009527F8" w:rsidRPr="00494D8C" w:rsidRDefault="009527F8" w:rsidP="006770F0">
      <w:pPr>
        <w:pStyle w:val="NormalOCAshurst"/>
        <w:ind w:left="567"/>
      </w:pPr>
      <w:r w:rsidRPr="00494D8C">
        <w:t xml:space="preserve">Under current law, U.S. Holders should not be required to recognise income or loss upon the acquisition of a </w:t>
      </w:r>
      <w:proofErr w:type="spellStart"/>
      <w:r w:rsidRPr="00494D8C">
        <w:t>LEPW</w:t>
      </w:r>
      <w:proofErr w:type="spellEnd"/>
      <w:r w:rsidRPr="00494D8C">
        <w:t xml:space="preserve">, and (except as provided below) U.S. Holders should not be required to accrue income with respect to a </w:t>
      </w:r>
      <w:proofErr w:type="spellStart"/>
      <w:r w:rsidRPr="00494D8C">
        <w:t>LEPW</w:t>
      </w:r>
      <w:proofErr w:type="spellEnd"/>
      <w:r w:rsidRPr="00494D8C">
        <w:t xml:space="preserve"> over the life of the </w:t>
      </w:r>
      <w:proofErr w:type="spellStart"/>
      <w:r w:rsidRPr="00494D8C">
        <w:t>LEPW</w:t>
      </w:r>
      <w:proofErr w:type="spellEnd"/>
      <w:r w:rsidRPr="00494D8C">
        <w:t>. Certain legislative and regulatory proposals intended to address the treatment of income from prepaid derivatives could alter the foregoing treatment of Securities, possibly retroactively. It is not possible to predict whether or when such proposals will be adopted.</w:t>
      </w:r>
    </w:p>
    <w:p w14:paraId="691AC727" w14:textId="77777777" w:rsidR="009527F8" w:rsidRPr="00494D8C" w:rsidRDefault="009527F8" w:rsidP="006770F0">
      <w:pPr>
        <w:pStyle w:val="NormalOCAshurst"/>
        <w:ind w:left="567"/>
      </w:pPr>
      <w:r w:rsidRPr="00494D8C">
        <w:t xml:space="preserve">The U.S. federal income tax characterisation of any payments made by the terms of a </w:t>
      </w:r>
      <w:proofErr w:type="spellStart"/>
      <w:r w:rsidRPr="00494D8C">
        <w:t>LEPW</w:t>
      </w:r>
      <w:proofErr w:type="spellEnd"/>
      <w:r w:rsidRPr="00494D8C">
        <w:t xml:space="preserve"> prior to its stated maturity date (if any) is unclear. To the extent the relevant Issuer is required to do so, the relevant Issuer will report such amounts to Holders and the IRS as ordinary income. Other characterisations of a </w:t>
      </w:r>
      <w:proofErr w:type="spellStart"/>
      <w:r w:rsidRPr="00494D8C">
        <w:t>LEPW</w:t>
      </w:r>
      <w:proofErr w:type="spellEnd"/>
      <w:r w:rsidRPr="00494D8C">
        <w:t xml:space="preserve"> that provides for such amounts are possible that could result in the timing and character of income recognised being different than that described above. U.S. Holders should consult their own tax advisers about the timing and character of income recognised with respect to </w:t>
      </w:r>
      <w:proofErr w:type="spellStart"/>
      <w:r w:rsidRPr="00494D8C">
        <w:t>LEPWs</w:t>
      </w:r>
      <w:proofErr w:type="spellEnd"/>
      <w:r w:rsidRPr="00494D8C">
        <w:t>.</w:t>
      </w:r>
    </w:p>
    <w:p w14:paraId="435704F3" w14:textId="77777777" w:rsidR="009527F8" w:rsidRPr="00494D8C" w:rsidRDefault="009527F8" w:rsidP="006770F0">
      <w:pPr>
        <w:pStyle w:val="NormalOCAshurst"/>
        <w:ind w:left="567"/>
      </w:pPr>
      <w:r w:rsidRPr="00494D8C">
        <w:t xml:space="preserve">A U.S. Holder's tax basis in a </w:t>
      </w:r>
      <w:proofErr w:type="spellStart"/>
      <w:r w:rsidRPr="00494D8C">
        <w:t>LEPW</w:t>
      </w:r>
      <w:proofErr w:type="spellEnd"/>
      <w:r w:rsidRPr="00494D8C">
        <w:t xml:space="preserve"> generally will be the </w:t>
      </w:r>
      <w:proofErr w:type="spellStart"/>
      <w:r w:rsidRPr="00494D8C">
        <w:t>LEPW's</w:t>
      </w:r>
      <w:proofErr w:type="spellEnd"/>
      <w:r w:rsidRPr="00494D8C">
        <w:t xml:space="preserve"> U.S. dollar cost. The U.S. dollar cost of a </w:t>
      </w:r>
      <w:proofErr w:type="spellStart"/>
      <w:r w:rsidRPr="00494D8C">
        <w:t>LEPW</w:t>
      </w:r>
      <w:proofErr w:type="spellEnd"/>
      <w:r w:rsidRPr="00494D8C">
        <w:t xml:space="preserve"> purchased with a foreign currency generally will be the U.S. dollar value of the purchase price on the date of purchase plus the U.S. dollar value of any nominal exercise price paid by the U.S. Holder. A U.S. Holder will recognise gain or loss on the sale or exercise of a </w:t>
      </w:r>
      <w:proofErr w:type="spellStart"/>
      <w:r w:rsidRPr="00494D8C">
        <w:t>LEPW</w:t>
      </w:r>
      <w:proofErr w:type="spellEnd"/>
      <w:r w:rsidRPr="00494D8C">
        <w:t xml:space="preserve"> equal to the difference between the amount of cash received upon sale or exercise (generally, determined net of applicable related expenses) and the U.S. Holder's tax basis in the </w:t>
      </w:r>
      <w:proofErr w:type="spellStart"/>
      <w:r w:rsidRPr="00494D8C">
        <w:t>LEPW</w:t>
      </w:r>
      <w:proofErr w:type="spellEnd"/>
      <w:r w:rsidRPr="00494D8C">
        <w:t xml:space="preserve">. Except as provided under the discussion of "constructive ownership transactions" above, any gain or loss recognised on the sale or exercise of a </w:t>
      </w:r>
      <w:proofErr w:type="spellStart"/>
      <w:r w:rsidRPr="00494D8C">
        <w:t>LEPW</w:t>
      </w:r>
      <w:proofErr w:type="spellEnd"/>
      <w:r w:rsidRPr="00494D8C">
        <w:t xml:space="preserve"> should be capital gain or loss and should be long-term capital gain or loss if the U.S. Holder's holding period in the </w:t>
      </w:r>
      <w:proofErr w:type="spellStart"/>
      <w:r w:rsidRPr="00494D8C">
        <w:t>LEPW</w:t>
      </w:r>
      <w:proofErr w:type="spellEnd"/>
      <w:r w:rsidRPr="00494D8C">
        <w:t xml:space="preserve"> exceeds one year.</w:t>
      </w:r>
    </w:p>
    <w:p w14:paraId="7C65B9B0" w14:textId="77777777" w:rsidR="009527F8" w:rsidRPr="00494D8C" w:rsidRDefault="009527F8" w:rsidP="006770F0">
      <w:pPr>
        <w:pStyle w:val="NormalOCAshurst"/>
        <w:ind w:left="567"/>
      </w:pPr>
      <w:r w:rsidRPr="00494D8C">
        <w:t xml:space="preserve">To the extent that a </w:t>
      </w:r>
      <w:proofErr w:type="spellStart"/>
      <w:r w:rsidRPr="00494D8C">
        <w:t>LEPW</w:t>
      </w:r>
      <w:proofErr w:type="spellEnd"/>
      <w:r w:rsidRPr="00494D8C">
        <w:t xml:space="preserve"> is treated as a "constructive ownership transaction", under the rules discussed above, any gain on disposition (or deemed disposition) may be treated as ordinary income and an interest charge may be imposed on a deemed underpayment of tax for each taxable year during which the </w:t>
      </w:r>
      <w:proofErr w:type="spellStart"/>
      <w:r w:rsidRPr="00494D8C">
        <w:t>LEPW</w:t>
      </w:r>
      <w:proofErr w:type="spellEnd"/>
      <w:r w:rsidRPr="00494D8C">
        <w:t xml:space="preserve"> was held.</w:t>
      </w:r>
    </w:p>
    <w:p w14:paraId="659185DA" w14:textId="77777777" w:rsidR="009527F8" w:rsidRPr="00494D8C" w:rsidRDefault="009527F8" w:rsidP="006770F0">
      <w:pPr>
        <w:pStyle w:val="NormalOCAshurst"/>
        <w:ind w:left="567"/>
      </w:pPr>
      <w:r w:rsidRPr="00494D8C">
        <w:t xml:space="preserve">To the extent the issuer of a Reference Asset is deemed to constitute a passive foreign investment company and the </w:t>
      </w:r>
      <w:proofErr w:type="spellStart"/>
      <w:r w:rsidRPr="00494D8C">
        <w:t>LEPW</w:t>
      </w:r>
      <w:proofErr w:type="spellEnd"/>
      <w:r w:rsidRPr="00494D8C">
        <w:t xml:space="preserve"> is determined to be an option for purposes of applicable regulations, certain payments received prior to the maturity date of the </w:t>
      </w:r>
      <w:proofErr w:type="spellStart"/>
      <w:r w:rsidRPr="00494D8C">
        <w:t>LEPW</w:t>
      </w:r>
      <w:proofErr w:type="spellEnd"/>
      <w:r w:rsidRPr="00494D8C">
        <w:t xml:space="preserve"> and any gains may be subject to adverse tax treatment under the rules for investments in passive foreign investment companies discussed above. These rules also may effectively prevent a U.S. Holder from treating the gain realised on the disposition of the </w:t>
      </w:r>
      <w:proofErr w:type="spellStart"/>
      <w:r w:rsidRPr="00494D8C">
        <w:t>LEPW</w:t>
      </w:r>
      <w:proofErr w:type="spellEnd"/>
      <w:r w:rsidRPr="00494D8C">
        <w:t xml:space="preserve"> as capital gain. The relationship between these rules and the rules for "constructive ownership transactions" is unclear under current law.</w:t>
      </w:r>
    </w:p>
    <w:p w14:paraId="1AC8F236" w14:textId="77777777" w:rsidR="009527F8" w:rsidRPr="00494D8C" w:rsidRDefault="009527F8" w:rsidP="006770F0">
      <w:pPr>
        <w:pStyle w:val="NormalOCAshurst"/>
        <w:ind w:left="567"/>
        <w:rPr>
          <w:b/>
          <w:i/>
        </w:rPr>
      </w:pPr>
      <w:r w:rsidRPr="00494D8C">
        <w:rPr>
          <w:b/>
          <w:i/>
        </w:rPr>
        <w:t>Medicare Tax on Net Investment Income</w:t>
      </w:r>
    </w:p>
    <w:p w14:paraId="2A00B851" w14:textId="77777777" w:rsidR="009527F8" w:rsidRPr="00494D8C" w:rsidRDefault="009527F8" w:rsidP="006770F0">
      <w:pPr>
        <w:pStyle w:val="NormalOCAshurst"/>
        <w:ind w:left="567"/>
      </w:pPr>
      <w:r w:rsidRPr="00494D8C">
        <w:t xml:space="preserve">A U.S. Holder that is an individual or estate and certain trusts will be subject to a 3.8 per cent. tax on the lesser of (i) the U.S. Holder's "net investment income" for the relevant taxable year and (ii) the excess of </w:t>
      </w:r>
      <w:r w:rsidRPr="00494D8C">
        <w:lastRenderedPageBreak/>
        <w:t>the U.S. Holder's modified adjusted gross income for the taxable year over the applicable threshold amount. A U.S. Holder's net investment income generally will include any income and gain on a Security, unless such income or gains are derived in the ordinary course of the conduct of a trade or business (other than a trade or business that consists of certain passive or trading activities). U.S. Holders are urged to consult their tax advisors regarding the applicability of the Medicare tax to an investment in the Securities.</w:t>
      </w:r>
    </w:p>
    <w:p w14:paraId="78ABC5D4" w14:textId="77777777" w:rsidR="009527F8" w:rsidRPr="00494D8C" w:rsidRDefault="009527F8" w:rsidP="006770F0">
      <w:pPr>
        <w:pStyle w:val="NormalOCAshurst"/>
        <w:keepNext/>
        <w:ind w:left="567"/>
        <w:rPr>
          <w:b/>
          <w:i/>
        </w:rPr>
      </w:pPr>
      <w:r w:rsidRPr="00494D8C">
        <w:rPr>
          <w:b/>
          <w:i/>
        </w:rPr>
        <w:t>Substitution of Issuer</w:t>
      </w:r>
    </w:p>
    <w:p w14:paraId="70D13E03" w14:textId="77777777" w:rsidR="009527F8" w:rsidRPr="00494D8C" w:rsidRDefault="009527F8" w:rsidP="006770F0">
      <w:pPr>
        <w:pStyle w:val="NormalOCAshurst"/>
        <w:ind w:left="567"/>
      </w:pPr>
      <w:r w:rsidRPr="00494D8C">
        <w:t>The terms of the Securities provide that, in certain circumstances, the obligations of the relevant Issuer under the Securities may be assumed by another entity. Any such assumption might be treated for U.S. federal income tax purposes as a deemed disposition of Securities by a U.S. Holder in exchange for new Securities issued by the new obligor. As a result of this deemed disposition, a U.S. Holder could be required to recognise capital gain or loss for U.S. federal income tax purposes equal to the difference, if any, between the issue price of the new Securities (as determined for U.S. federal income tax purposes), and the U.S. Holder's tax basis in the Securities. If a Security is treated as reissued, it may be treated as being issued with original issue discount or bond premium or having significant nonperiodic payments or other nonperiodic payments. In addition, the characterisation of a Security as debt, option, forward agreement, notional principal contract or other derivative financial product may change on account of a substitution of an Issuer. U.S. Holders should consult their tax advisers concerning the U.S. federal income tax consequences to them of a change in obligor with respect to the Securities.</w:t>
      </w:r>
    </w:p>
    <w:p w14:paraId="2644FDCA" w14:textId="77777777" w:rsidR="009527F8" w:rsidRPr="00494D8C" w:rsidRDefault="009527F8" w:rsidP="006770F0">
      <w:pPr>
        <w:pStyle w:val="NormalOCAshurst"/>
        <w:ind w:left="567"/>
        <w:rPr>
          <w:b/>
          <w:i/>
        </w:rPr>
      </w:pPr>
      <w:r w:rsidRPr="00494D8C">
        <w:rPr>
          <w:b/>
          <w:i/>
        </w:rPr>
        <w:t>Reportable Transactions</w:t>
      </w:r>
    </w:p>
    <w:p w14:paraId="3FC8FC3C" w14:textId="77777777" w:rsidR="009527F8" w:rsidRPr="00494D8C" w:rsidRDefault="009527F8" w:rsidP="006770F0">
      <w:pPr>
        <w:pStyle w:val="NormalOCAshurst"/>
        <w:ind w:left="567"/>
      </w:pPr>
      <w:r w:rsidRPr="00494D8C">
        <w:t xml:space="preserve">A U.S. taxpayer that participates in a "reportable transaction" will be required to disclose this participation to the IRS. The scope and application of these rules is not entirely clear. A U.S. Holder that is an individual or trust may be required to treat a foreign currency exchange loss from the Securities as a reportable transaction if the loss exceeds </w:t>
      </w:r>
      <w:proofErr w:type="spellStart"/>
      <w:r w:rsidRPr="00494D8C">
        <w:t>U.S.$50,000</w:t>
      </w:r>
      <w:proofErr w:type="spellEnd"/>
      <w:r w:rsidRPr="00494D8C">
        <w:t xml:space="preserve"> in a single taxable year (or higher amounts for other types of U.S. Holders). In 2015, the U.S. Treasury and the IRS released notices designating certain "basket options", "basket contracts" and substantially similar transactions as reportable transactions. The notices apply to specified transactions in which a taxpayer or its "designee" has, and exercises, discretion to change the assets or an algorithm underlying the transaction. While an exercise of the type of discretion that would give rise to such reporting requirements in respect of the Securities is not expected, if the relevant Issuer, an Index Sponsor or Calculation Agent or other person were to exercise discretion under the terms of a Security or an Index underlying a Security and were treated as a beneficial owner's or Holder's "designee" for these purposes, unless an exception applied certain beneficial owners and Holders of the relevant Securities may be required to report certain information to the IRS, as set forth in the applicable U.S. Treasury regulations, or be subject to penalties. In addition, in the event the acquisition, holding or disposition of Securities otherwise constitutes participation in a "reportable transaction" for the purposes of these rules, a U.S. Holder may be required to disclose its investment by filing Form 8886 with the IRS. The relevant Issuer might also be required to report information regarding the transaction to the IRS. A penalty in the amount of </w:t>
      </w:r>
      <w:proofErr w:type="spellStart"/>
      <w:r w:rsidRPr="00494D8C">
        <w:t>U.S.$10,000</w:t>
      </w:r>
      <w:proofErr w:type="spellEnd"/>
      <w:r w:rsidRPr="00494D8C">
        <w:t xml:space="preserve"> for natural persons and </w:t>
      </w:r>
      <w:proofErr w:type="spellStart"/>
      <w:r w:rsidRPr="00494D8C">
        <w:t>U.S.$50,000</w:t>
      </w:r>
      <w:proofErr w:type="spellEnd"/>
      <w:r w:rsidRPr="00494D8C">
        <w:t xml:space="preserve"> for other persons (increased to </w:t>
      </w:r>
      <w:proofErr w:type="spellStart"/>
      <w:r w:rsidRPr="00494D8C">
        <w:t>U.S.$100,000</w:t>
      </w:r>
      <w:proofErr w:type="spellEnd"/>
      <w:r w:rsidRPr="00494D8C">
        <w:t xml:space="preserve"> and </w:t>
      </w:r>
      <w:proofErr w:type="spellStart"/>
      <w:r w:rsidRPr="00494D8C">
        <w:t>U.S.$200,000</w:t>
      </w:r>
      <w:proofErr w:type="spellEnd"/>
      <w:r w:rsidRPr="00494D8C">
        <w:t>, respectively, if the reportable transaction is a "Listed Transaction") may be imposed on any taxpayer that fails to timely file an information return with the IRS with respect to a transaction that is treated as a reportable transaction. Investors are urged to consult their tax advisers regarding the application of these rules to the acquisition, holding or disposition of Securities.</w:t>
      </w:r>
    </w:p>
    <w:p w14:paraId="1C815913" w14:textId="77777777" w:rsidR="009527F8" w:rsidRPr="00494D8C" w:rsidRDefault="009527F8" w:rsidP="006770F0">
      <w:pPr>
        <w:pStyle w:val="NormalOCAshurst"/>
        <w:ind w:left="567"/>
        <w:rPr>
          <w:b/>
        </w:rPr>
      </w:pPr>
      <w:r w:rsidRPr="00494D8C">
        <w:rPr>
          <w:b/>
        </w:rPr>
        <w:t>Taxation of Non-U.S. Holders</w:t>
      </w:r>
    </w:p>
    <w:p w14:paraId="2942E820" w14:textId="77777777" w:rsidR="009527F8" w:rsidRPr="00494D8C" w:rsidRDefault="009527F8" w:rsidP="006770F0">
      <w:pPr>
        <w:pStyle w:val="NormalOCAshurst"/>
        <w:ind w:left="567"/>
        <w:rPr>
          <w:b/>
          <w:i/>
          <w:iCs/>
        </w:rPr>
      </w:pPr>
      <w:r w:rsidRPr="00494D8C">
        <w:rPr>
          <w:b/>
          <w:i/>
          <w:iCs/>
        </w:rPr>
        <w:t>U.S. Withholding Taxes</w:t>
      </w:r>
    </w:p>
    <w:p w14:paraId="06CFCC46" w14:textId="1E296FB3" w:rsidR="009527F8" w:rsidRPr="00494D8C" w:rsidRDefault="009527F8" w:rsidP="006770F0">
      <w:pPr>
        <w:pStyle w:val="NormalOCAshurst"/>
        <w:ind w:left="567"/>
        <w:rPr>
          <w:bCs/>
          <w:iCs/>
        </w:rPr>
      </w:pPr>
      <w:r w:rsidRPr="00494D8C">
        <w:rPr>
          <w:bCs/>
          <w:i/>
        </w:rPr>
        <w:t>The following discussion applies to Securities that are properly treated as debt for U.S. federal income tax purposes. The applicable Pricing Supplement may discuss additional U.S. federal income tax considerations arising from an investment in the Securities</w:t>
      </w:r>
      <w:r w:rsidRPr="00494D8C">
        <w:rPr>
          <w:bCs/>
          <w:iCs/>
        </w:rPr>
        <w:t>.</w:t>
      </w:r>
    </w:p>
    <w:p w14:paraId="707B71C3" w14:textId="77777777" w:rsidR="00494D8C" w:rsidRPr="00494D8C" w:rsidRDefault="00494D8C" w:rsidP="00494D8C">
      <w:pPr>
        <w:pStyle w:val="NormalOCAshurst"/>
        <w:ind w:left="567"/>
      </w:pPr>
      <w:r w:rsidRPr="00494D8C">
        <w:t>Subject to the discussions below in "</w:t>
      </w:r>
      <w:r w:rsidRPr="00494D8C">
        <w:rPr>
          <w:i/>
        </w:rPr>
        <w:t>U.S. Withholding under FATCA</w:t>
      </w:r>
      <w:r w:rsidRPr="00494D8C">
        <w:t>", "</w:t>
      </w:r>
      <w:r w:rsidRPr="00494D8C">
        <w:rPr>
          <w:i/>
          <w:iCs/>
        </w:rPr>
        <w:t>U.</w:t>
      </w:r>
      <w:r w:rsidRPr="00494D8C">
        <w:rPr>
          <w:i/>
        </w:rPr>
        <w:t>S. Withholding on Dividend Equivalent Payments</w:t>
      </w:r>
      <w:r w:rsidRPr="00494D8C">
        <w:t>", "</w:t>
      </w:r>
      <w:r w:rsidRPr="00494D8C">
        <w:rPr>
          <w:i/>
          <w:iCs/>
        </w:rPr>
        <w:t>U.</w:t>
      </w:r>
      <w:r w:rsidRPr="00494D8C">
        <w:rPr>
          <w:i/>
        </w:rPr>
        <w:t>S. Foreign Investment in Real Property Tax Act</w:t>
      </w:r>
      <w:r w:rsidRPr="00494D8C">
        <w:t>", "</w:t>
      </w:r>
      <w:r w:rsidRPr="00494D8C">
        <w:rPr>
          <w:i/>
        </w:rPr>
        <w:t>U.S. Information Reporting and Backup Withholding</w:t>
      </w:r>
      <w:r w:rsidRPr="00494D8C">
        <w:t>", and "</w:t>
      </w:r>
      <w:r w:rsidRPr="00494D8C">
        <w:rPr>
          <w:i/>
        </w:rPr>
        <w:t>FATCA</w:t>
      </w:r>
      <w:r w:rsidRPr="00494D8C">
        <w:t>", the relevant Issuer expects that payments on the Securities to a Non-U.S. Holder generally will not be subject to U.S. federal withholding tax, provided that, in the case of payments treated as interest for U.S. federal income tax purposes with respect to Securities with a maturity at issue of more than 183 days, the following conditions are satisfied such that the interest payments qualify as "portfolio interest":</w:t>
      </w:r>
    </w:p>
    <w:p w14:paraId="4AC82AD8" w14:textId="77777777" w:rsidR="00494D8C" w:rsidRPr="00494D8C" w:rsidRDefault="00494D8C" w:rsidP="009B43D6">
      <w:pPr>
        <w:pStyle w:val="BulletOCAshurst"/>
        <w:tabs>
          <w:tab w:val="clear" w:pos="1561"/>
          <w:tab w:val="num" w:pos="1276"/>
        </w:tabs>
        <w:ind w:left="1276"/>
        <w:rPr>
          <w:rFonts w:ascii="Times New Roman" w:hAnsi="Times New Roman"/>
        </w:rPr>
      </w:pPr>
      <w:r w:rsidRPr="00494D8C">
        <w:rPr>
          <w:rFonts w:ascii="Times New Roman" w:hAnsi="Times New Roman"/>
        </w:rPr>
        <w:lastRenderedPageBreak/>
        <w:t xml:space="preserve">the amount of the payment is not determined by reference to any receipts, sales or other cash flow, income or profits, change in value of any property of, or dividend or similar payment made by the relevant Issuer (or JPMorgan Chase &amp; Co. in the case of Securities issued by </w:t>
      </w:r>
      <w:proofErr w:type="spellStart"/>
      <w:r w:rsidRPr="00494D8C">
        <w:rPr>
          <w:rFonts w:ascii="Times New Roman" w:hAnsi="Times New Roman"/>
        </w:rPr>
        <w:t>JPMCFC</w:t>
      </w:r>
      <w:proofErr w:type="spellEnd"/>
      <w:r w:rsidRPr="00494D8C">
        <w:rPr>
          <w:rFonts w:ascii="Times New Roman" w:hAnsi="Times New Roman"/>
        </w:rPr>
        <w:t xml:space="preserve">) or a person related to the Issuer (or JPMorgan Chase &amp; Co. in the case of Securities issued by </w:t>
      </w:r>
      <w:proofErr w:type="spellStart"/>
      <w:r w:rsidRPr="00494D8C">
        <w:rPr>
          <w:rFonts w:ascii="Times New Roman" w:hAnsi="Times New Roman"/>
        </w:rPr>
        <w:t>JPMCFC</w:t>
      </w:r>
      <w:proofErr w:type="spellEnd"/>
      <w:r w:rsidRPr="00494D8C">
        <w:rPr>
          <w:rFonts w:ascii="Times New Roman" w:hAnsi="Times New Roman"/>
        </w:rPr>
        <w:t>) (other than, among other things, certain property that is traded on an exchange or interdealer market that satisfies the requirements necessary for the property to qualify as "actively traded property" or property held as a hedging transaction to manage interest rate or currency fluctuations with respect to an Security);</w:t>
      </w:r>
    </w:p>
    <w:p w14:paraId="7C20749C" w14:textId="77777777" w:rsidR="00494D8C" w:rsidRPr="00494D8C" w:rsidRDefault="00494D8C" w:rsidP="009B43D6">
      <w:pPr>
        <w:pStyle w:val="BulletOCAshurst"/>
        <w:tabs>
          <w:tab w:val="clear" w:pos="1561"/>
          <w:tab w:val="num" w:pos="1276"/>
        </w:tabs>
        <w:ind w:left="1276"/>
        <w:rPr>
          <w:rFonts w:ascii="Times New Roman" w:hAnsi="Times New Roman"/>
        </w:rPr>
      </w:pPr>
      <w:r w:rsidRPr="00494D8C">
        <w:rPr>
          <w:rFonts w:ascii="Times New Roman" w:hAnsi="Times New Roman"/>
        </w:rPr>
        <w:t xml:space="preserve">the Non-U.S. Holder does not actually or constructively own 10 per cent. or more of the total combined voting power of all classes of stock of the relevant Issuer (or JPMorgan Chase &amp; Co. in the case of Securities issued by </w:t>
      </w:r>
      <w:proofErr w:type="spellStart"/>
      <w:r w:rsidRPr="00494D8C">
        <w:rPr>
          <w:rFonts w:ascii="Times New Roman" w:hAnsi="Times New Roman"/>
        </w:rPr>
        <w:t>JPMCFC</w:t>
      </w:r>
      <w:proofErr w:type="spellEnd"/>
      <w:r w:rsidRPr="00494D8C">
        <w:rPr>
          <w:rFonts w:ascii="Times New Roman" w:hAnsi="Times New Roman"/>
        </w:rPr>
        <w:t>) entitled to vote;</w:t>
      </w:r>
    </w:p>
    <w:p w14:paraId="04268434" w14:textId="77777777" w:rsidR="00494D8C" w:rsidRPr="00494D8C" w:rsidRDefault="00494D8C" w:rsidP="009B43D6">
      <w:pPr>
        <w:pStyle w:val="BulletOCAshurst"/>
        <w:tabs>
          <w:tab w:val="clear" w:pos="1561"/>
          <w:tab w:val="num" w:pos="1276"/>
        </w:tabs>
        <w:ind w:left="1276"/>
        <w:rPr>
          <w:rFonts w:ascii="Times New Roman" w:hAnsi="Times New Roman"/>
        </w:rPr>
      </w:pPr>
      <w:r w:rsidRPr="00494D8C">
        <w:rPr>
          <w:rFonts w:ascii="Times New Roman" w:hAnsi="Times New Roman"/>
        </w:rPr>
        <w:t xml:space="preserve">the Non-U.S. Holder is not for U.S. federal income tax purposes a controlled foreign corporation related to the relevant Issuer (or JPMorgan Chase &amp; Co. in the case of Securities issued by </w:t>
      </w:r>
      <w:proofErr w:type="spellStart"/>
      <w:r w:rsidRPr="00494D8C">
        <w:rPr>
          <w:rFonts w:ascii="Times New Roman" w:hAnsi="Times New Roman"/>
        </w:rPr>
        <w:t>JPMCFC</w:t>
      </w:r>
      <w:proofErr w:type="spellEnd"/>
      <w:r w:rsidRPr="00494D8C">
        <w:rPr>
          <w:rFonts w:ascii="Times New Roman" w:hAnsi="Times New Roman"/>
        </w:rPr>
        <w:t>) through stock ownership;</w:t>
      </w:r>
    </w:p>
    <w:p w14:paraId="54AA785C" w14:textId="77777777" w:rsidR="00494D8C" w:rsidRPr="00494D8C" w:rsidRDefault="00494D8C" w:rsidP="009B43D6">
      <w:pPr>
        <w:pStyle w:val="BulletOCAshurst"/>
        <w:tabs>
          <w:tab w:val="clear" w:pos="1561"/>
          <w:tab w:val="num" w:pos="1276"/>
        </w:tabs>
        <w:ind w:left="1276"/>
        <w:rPr>
          <w:rFonts w:ascii="Times New Roman" w:hAnsi="Times New Roman"/>
        </w:rPr>
      </w:pPr>
      <w:r w:rsidRPr="00494D8C">
        <w:rPr>
          <w:rFonts w:ascii="Times New Roman" w:hAnsi="Times New Roman"/>
        </w:rPr>
        <w:t>the Non-U.S. Holder is not a bank receiving interest on an extension of credit pursuant to a loan agreement entered into in the ordinary course of its business;</w:t>
      </w:r>
    </w:p>
    <w:p w14:paraId="2AD8477A" w14:textId="77777777" w:rsidR="00494D8C" w:rsidRPr="00494D8C" w:rsidRDefault="00494D8C" w:rsidP="009B43D6">
      <w:pPr>
        <w:pStyle w:val="BulletOCAshurst"/>
        <w:tabs>
          <w:tab w:val="clear" w:pos="1561"/>
          <w:tab w:val="num" w:pos="1276"/>
        </w:tabs>
        <w:ind w:left="1276"/>
        <w:rPr>
          <w:rFonts w:ascii="Times New Roman" w:hAnsi="Times New Roman"/>
        </w:rPr>
      </w:pPr>
      <w:r w:rsidRPr="00494D8C">
        <w:rPr>
          <w:rFonts w:ascii="Times New Roman" w:hAnsi="Times New Roman"/>
        </w:rPr>
        <w:t>the Non-U.S. Holder is not within a foreign country with respect to which the United States Secretary of the Treasury has made a determination under Section 871(h)(6) of the Code or Section 881(c)(6) of the Code that payments to any person within such foreign country (or payments addressed to, or for the account of, persons within such foreign country) shall not constitute portfolio interest under either Section 871(h) or Section 881(c) of the Code;</w:t>
      </w:r>
    </w:p>
    <w:p w14:paraId="463AD5EE" w14:textId="77777777" w:rsidR="00494D8C" w:rsidRPr="00494D8C" w:rsidRDefault="00494D8C" w:rsidP="009B43D6">
      <w:pPr>
        <w:pStyle w:val="BulletOCAshurst"/>
        <w:tabs>
          <w:tab w:val="clear" w:pos="1561"/>
          <w:tab w:val="num" w:pos="1276"/>
        </w:tabs>
        <w:ind w:left="1276"/>
        <w:rPr>
          <w:rFonts w:ascii="Times New Roman" w:hAnsi="Times New Roman"/>
        </w:rPr>
      </w:pPr>
      <w:r w:rsidRPr="00494D8C">
        <w:rPr>
          <w:rFonts w:ascii="Times New Roman" w:hAnsi="Times New Roman"/>
        </w:rPr>
        <w:t>in certain cases (i) the Non-U.S. Holder has provided the appropriate and properly completed and executed U.S. Internal Revenue Service Form W-8 on which it certifies, under penalties of perjury, that it is not a U.S. person, and (ii) in the case of payments made to an intermediary, a properly completed intermediary certification (such as U.S. Internal Revenue Service Form W-</w:t>
      </w:r>
      <w:proofErr w:type="spellStart"/>
      <w:r w:rsidRPr="00494D8C">
        <w:rPr>
          <w:rFonts w:ascii="Times New Roman" w:hAnsi="Times New Roman"/>
        </w:rPr>
        <w:t>8IMY</w:t>
      </w:r>
      <w:proofErr w:type="spellEnd"/>
      <w:r w:rsidRPr="00494D8C">
        <w:rPr>
          <w:rFonts w:ascii="Times New Roman" w:hAnsi="Times New Roman"/>
        </w:rPr>
        <w:t xml:space="preserve">) and any other required documentation has been provided by the intermediary to the relevant Issuer (or JPMorgan Chase &amp; Co. in the case of Securities issued by </w:t>
      </w:r>
      <w:proofErr w:type="spellStart"/>
      <w:r w:rsidRPr="00494D8C">
        <w:rPr>
          <w:rFonts w:ascii="Times New Roman" w:hAnsi="Times New Roman"/>
        </w:rPr>
        <w:t>JPMCFC</w:t>
      </w:r>
      <w:proofErr w:type="spellEnd"/>
      <w:r w:rsidRPr="00494D8C">
        <w:rPr>
          <w:rFonts w:ascii="Times New Roman" w:hAnsi="Times New Roman"/>
        </w:rPr>
        <w:t>) or its paying agent; and</w:t>
      </w:r>
    </w:p>
    <w:p w14:paraId="2C218D77" w14:textId="0C3656B2" w:rsidR="00494D8C" w:rsidRPr="00494D8C" w:rsidRDefault="00494D8C" w:rsidP="009B43D6">
      <w:pPr>
        <w:pStyle w:val="BulletOCAshurst"/>
        <w:tabs>
          <w:tab w:val="clear" w:pos="1561"/>
          <w:tab w:val="num" w:pos="1276"/>
        </w:tabs>
        <w:ind w:left="1276"/>
        <w:rPr>
          <w:rFonts w:ascii="Times New Roman" w:hAnsi="Times New Roman"/>
        </w:rPr>
      </w:pPr>
      <w:r w:rsidRPr="00494D8C">
        <w:rPr>
          <w:rFonts w:ascii="Times New Roman" w:hAnsi="Times New Roman"/>
        </w:rPr>
        <w:t>the Security is treated as issued in registered form for U.S. federal income tax purposes.</w:t>
      </w:r>
    </w:p>
    <w:p w14:paraId="2053C7BC" w14:textId="67F48F12" w:rsidR="009527F8" w:rsidRPr="00494D8C" w:rsidRDefault="009527F8" w:rsidP="006770F0">
      <w:pPr>
        <w:pStyle w:val="NormalOCAshurst"/>
        <w:ind w:left="567"/>
      </w:pPr>
      <w:r w:rsidRPr="00494D8C">
        <w:t>Accordingly, except to the extent the Pricing Supplement indicates otherwise and subject to the discussions in the sections entitled "</w:t>
      </w:r>
      <w:r w:rsidRPr="00494D8C">
        <w:rPr>
          <w:i/>
        </w:rPr>
        <w:t>U.S. Withholding Under FATCA</w:t>
      </w:r>
      <w:r w:rsidRPr="00494D8C">
        <w:t>", "</w:t>
      </w:r>
      <w:r w:rsidRPr="00494D8C">
        <w:rPr>
          <w:i/>
          <w:iCs/>
        </w:rPr>
        <w:t>U.</w:t>
      </w:r>
      <w:r w:rsidRPr="00494D8C">
        <w:rPr>
          <w:i/>
        </w:rPr>
        <w:t>S. Withholding on Dividend Equivalent Payments</w:t>
      </w:r>
      <w:r w:rsidRPr="00494D8C">
        <w:t>", "</w:t>
      </w:r>
      <w:r w:rsidRPr="00494D8C">
        <w:rPr>
          <w:i/>
        </w:rPr>
        <w:t>U.S. Foreign Investment in Real Property Tax Act</w:t>
      </w:r>
      <w:r w:rsidRPr="00494D8C">
        <w:t>", "</w:t>
      </w:r>
      <w:r w:rsidRPr="00494D8C">
        <w:rPr>
          <w:i/>
        </w:rPr>
        <w:t>U.S. Information Reporting and Backup Withholding</w:t>
      </w:r>
      <w:r w:rsidRPr="00494D8C">
        <w:t>", and "</w:t>
      </w:r>
      <w:r w:rsidRPr="00494D8C">
        <w:rPr>
          <w:i/>
        </w:rPr>
        <w:t>FATCA</w:t>
      </w:r>
      <w:r w:rsidRPr="00494D8C">
        <w:t>", below, the relevant Issuer generally does not intend to withhold any amounts with respect to payments made to Non-U.S. Holders under the Securities, provided that Non-U.S. Holders provide the relevant Issuer, following a specific reasonable request by, or on behalf of, the relevant Issuer, a certification on the appropriate IRS Form W-8 or other reasonably requested certification regarding their nationality or identity.</w:t>
      </w:r>
    </w:p>
    <w:p w14:paraId="4922400D" w14:textId="222F1B51" w:rsidR="009527F8" w:rsidRPr="00494D8C" w:rsidRDefault="009527F8" w:rsidP="006770F0">
      <w:pPr>
        <w:pStyle w:val="NormalOCAshurst"/>
        <w:ind w:left="567"/>
      </w:pPr>
      <w:r w:rsidRPr="00494D8C">
        <w:t>Notwithstanding the discussion above, payments on a Security treated as U.S</w:t>
      </w:r>
      <w:r w:rsidR="006770F0" w:rsidRPr="00494D8C">
        <w:t>.</w:t>
      </w:r>
      <w:r w:rsidRPr="00494D8C">
        <w:t xml:space="preserve"> source income, other than amounts specifically exempted from U.S. withholding, including portfolio interest and interest on certain short-term debt obligations issued by a U.S. Issuer, could be subject to U.S. withholding tax generally. The applicable Pricing Supplement will provide a discussion of any additional U.S. federal income tax considerations that may be relevant to an investment in a Security by Non-U.S. Holders.</w:t>
      </w:r>
    </w:p>
    <w:p w14:paraId="42001AE0" w14:textId="0437C4B3" w:rsidR="009527F8" w:rsidRPr="00494D8C" w:rsidRDefault="009527F8" w:rsidP="006770F0">
      <w:pPr>
        <w:pStyle w:val="NormalOCAshurst"/>
        <w:ind w:left="567"/>
      </w:pPr>
      <w:r w:rsidRPr="00494D8C">
        <w:t>Further, subject to the discussions in the sections entitled "</w:t>
      </w:r>
      <w:r w:rsidRPr="00494D8C">
        <w:rPr>
          <w:i/>
        </w:rPr>
        <w:t>U.S. Withholding under FATCA</w:t>
      </w:r>
      <w:r w:rsidRPr="00494D8C">
        <w:t>", "</w:t>
      </w:r>
      <w:r w:rsidRPr="00494D8C">
        <w:rPr>
          <w:i/>
        </w:rPr>
        <w:t>U.S. Withholding on Dividend Equivalent Payments</w:t>
      </w:r>
      <w:r w:rsidRPr="00494D8C">
        <w:t>", "</w:t>
      </w:r>
      <w:r w:rsidRPr="00494D8C">
        <w:rPr>
          <w:i/>
        </w:rPr>
        <w:t>U.S. Foreign Investment in Real Property Tax Act</w:t>
      </w:r>
      <w:r w:rsidRPr="00494D8C">
        <w:t>", and "</w:t>
      </w:r>
      <w:r w:rsidRPr="00494D8C">
        <w:rPr>
          <w:i/>
        </w:rPr>
        <w:t>FATCA</w:t>
      </w:r>
      <w:r w:rsidRPr="00494D8C">
        <w:t>", gain realised on the sale, retirement or other taxable disposition of a Security by a Non-U.S. Holder generally will not be subject to U.S. federal income tax unless (i) such income is effectively connected with a trade or business conducted by the Non-U.S. Holder in the United States, or (ii) the Non-U.S. Holder has or had a current or former relationship with the United States, including a relationship as a citizen or resident thereof or based on an individual's presence in the United States for 183 days or more in the taxable year of the sale or maturity of the Securities. In the case of (i) above, a Non-U.S. Holder generally would be subject to U.S. federal income tax with respect to any income or gain in the same manner as if the Non-U.S</w:t>
      </w:r>
      <w:r w:rsidR="006770F0" w:rsidRPr="00494D8C">
        <w:t>.</w:t>
      </w:r>
      <w:r w:rsidRPr="00494D8C">
        <w:t xml:space="preserve"> Holder were a U.S. Holder and, in the case of a Non-U.S. Holder that is a </w:t>
      </w:r>
      <w:r w:rsidRPr="00494D8C">
        <w:lastRenderedPageBreak/>
        <w:t>corporation, the Non-U.S. Holder may also be subject to a branch profits tax equal to 30% (or such lower rate provided by an applicable U.S. income tax treaty) of a portion of its earnings and profits for the taxable year that are effectively connected with its conduct of a trade or business in the United States, subject to certain adjustments.</w:t>
      </w:r>
    </w:p>
    <w:p w14:paraId="1913C949" w14:textId="77777777" w:rsidR="009527F8" w:rsidRPr="00494D8C" w:rsidRDefault="009527F8" w:rsidP="006770F0">
      <w:pPr>
        <w:pStyle w:val="NormalOCAshurst"/>
        <w:ind w:left="567"/>
        <w:rPr>
          <w:i/>
          <w:iCs/>
        </w:rPr>
      </w:pPr>
      <w:r w:rsidRPr="00494D8C">
        <w:rPr>
          <w:i/>
          <w:iCs/>
        </w:rPr>
        <w:t>The following discussion applies to Securities that are properly treated as other than debt for U.S. federal income tax purposes and that do not provide for any payments prior to maturity. The applicable Pricing Supplement may discuss additional U.S. federal income tax considerations arising from an investment in the Securities.</w:t>
      </w:r>
    </w:p>
    <w:p w14:paraId="271DBB0E" w14:textId="77777777" w:rsidR="009527F8" w:rsidRPr="00494D8C" w:rsidRDefault="009527F8" w:rsidP="006770F0">
      <w:pPr>
        <w:pStyle w:val="NormalOCAshurst"/>
        <w:ind w:left="567"/>
      </w:pPr>
      <w:r w:rsidRPr="00494D8C">
        <w:t>Except to the extent the Pricing Supplement indicates otherwise and subject to the discussions in the sections entitled "</w:t>
      </w:r>
      <w:r w:rsidRPr="00494D8C">
        <w:rPr>
          <w:i/>
          <w:iCs/>
        </w:rPr>
        <w:t>U.S. Withholding Under FATCA</w:t>
      </w:r>
      <w:r w:rsidRPr="00494D8C">
        <w:t>", "</w:t>
      </w:r>
      <w:r w:rsidRPr="00494D8C">
        <w:rPr>
          <w:i/>
          <w:iCs/>
        </w:rPr>
        <w:t>U.S. Withholding on Dividend Equivalent Payments</w:t>
      </w:r>
      <w:r w:rsidRPr="00494D8C">
        <w:t>", "</w:t>
      </w:r>
      <w:r w:rsidRPr="00494D8C">
        <w:rPr>
          <w:i/>
          <w:iCs/>
        </w:rPr>
        <w:t>U.S. Foreign Investment in Real Property Tax Act</w:t>
      </w:r>
      <w:r w:rsidRPr="00494D8C">
        <w:t>", "</w:t>
      </w:r>
      <w:r w:rsidRPr="00494D8C">
        <w:rPr>
          <w:i/>
          <w:iCs/>
        </w:rPr>
        <w:t>U.S. Information Reporting and Backup Withholding</w:t>
      </w:r>
      <w:r w:rsidRPr="00494D8C">
        <w:t>", and "</w:t>
      </w:r>
      <w:r w:rsidRPr="00494D8C">
        <w:rPr>
          <w:i/>
          <w:iCs/>
        </w:rPr>
        <w:t>FATCA</w:t>
      </w:r>
      <w:r w:rsidRPr="00494D8C">
        <w:t>", below, the relevant Issuer generally does not intend to withhold any amounts with respect to payments made to Non-U.S. Holders under the Securities, provided that Non-U.S. Holders provide the relevant Issuer, following a specific reasonable request by, or on behalf of, the relevant Issuer, a certification on the appropriate IRS Form W-8 or other reasonably requested certification regarding their nationality or identity.</w:t>
      </w:r>
    </w:p>
    <w:p w14:paraId="3A9DD124" w14:textId="24165465" w:rsidR="009527F8" w:rsidRPr="00494D8C" w:rsidRDefault="009527F8" w:rsidP="006770F0">
      <w:pPr>
        <w:pStyle w:val="NormalOCAshurst"/>
        <w:ind w:left="567"/>
      </w:pPr>
      <w:r w:rsidRPr="00494D8C">
        <w:t>Notwithstanding the discussion above, payments on a Security treated as U.S</w:t>
      </w:r>
      <w:r w:rsidR="005D04F4">
        <w:t>.</w:t>
      </w:r>
      <w:r w:rsidRPr="00494D8C">
        <w:t xml:space="preserve"> source income could be subject to U.S. withholding tax generally.  The applicable Pricing Supplement will provide a discussion of any additional U.S. federal income tax considerations that may be relevant to an investment in a Security by Non-U.S. Holders. </w:t>
      </w:r>
    </w:p>
    <w:p w14:paraId="536D2FBD" w14:textId="5EF614D8" w:rsidR="009527F8" w:rsidRPr="00494D8C" w:rsidRDefault="009527F8" w:rsidP="006770F0">
      <w:pPr>
        <w:pStyle w:val="NormalOCAshurst"/>
        <w:ind w:left="567"/>
      </w:pPr>
      <w:r w:rsidRPr="00494D8C">
        <w:t>Further, subject to the discussions in the sections entitled "</w:t>
      </w:r>
      <w:r w:rsidRPr="00494D8C">
        <w:rPr>
          <w:i/>
          <w:iCs/>
        </w:rPr>
        <w:t>U.S. Withholding under FATCA</w:t>
      </w:r>
      <w:r w:rsidRPr="00494D8C">
        <w:t>", "</w:t>
      </w:r>
      <w:r w:rsidRPr="00494D8C">
        <w:rPr>
          <w:i/>
          <w:iCs/>
        </w:rPr>
        <w:t>U.S. Withholding on Dividend Equivalent Payments</w:t>
      </w:r>
      <w:r w:rsidRPr="00494D8C">
        <w:t>", "</w:t>
      </w:r>
      <w:r w:rsidRPr="00494D8C">
        <w:rPr>
          <w:i/>
          <w:iCs/>
        </w:rPr>
        <w:t>U.S. Foreign Investment in Real Property Tax Act</w:t>
      </w:r>
      <w:r w:rsidRPr="00494D8C">
        <w:t>", and "</w:t>
      </w:r>
      <w:r w:rsidRPr="00494D8C">
        <w:rPr>
          <w:i/>
          <w:iCs/>
        </w:rPr>
        <w:t>FATCA</w:t>
      </w:r>
      <w:r w:rsidRPr="00494D8C">
        <w:t>", gain realised on the sale, retirement or other taxable disposition of a Security by a Non-U.S. Holder generally will not be subject to U.S. federal income tax unless (i) such income is effectively connected with a trade or business conducted by the Non-U.S. Holder in the United States, or (ii) the Non-U.S. Holder has or had a current or former relationship with the United States, including a relationship as a citizen or resident thereof or based on an individual's presence in the United States for 183 days or more in the taxable year of the sale or maturity of the Securities.  In the case of (i) above, a Non-U.S. Holder generally would be subject to U.S. federal income tax with respect to any income or gain in the same manner as if the Non-U.S</w:t>
      </w:r>
      <w:r w:rsidR="00973444" w:rsidRPr="00494D8C">
        <w:t>.</w:t>
      </w:r>
      <w:r w:rsidRPr="00494D8C">
        <w:t xml:space="preserve"> Holder were a U.S. Holder and, in the case of a Non-U.S. Holder that is a corporation, the Non-U.S. Holder may also be subject to a branch profits tax equal to 30% (or such lower rate provided by an applicable U.S. income tax treaty) of a portion of its earnings and profits for the taxable year that are effectively connected with its conduct of a trade or business in the United States, subject to certain adjustments.</w:t>
      </w:r>
    </w:p>
    <w:p w14:paraId="1ECD4173" w14:textId="77777777" w:rsidR="009527F8" w:rsidRPr="00494D8C" w:rsidRDefault="009527F8" w:rsidP="006770F0">
      <w:pPr>
        <w:pStyle w:val="NormalOCAshurst"/>
        <w:ind w:left="567"/>
        <w:rPr>
          <w:b/>
          <w:i/>
        </w:rPr>
      </w:pPr>
      <w:r w:rsidRPr="00494D8C">
        <w:rPr>
          <w:b/>
          <w:i/>
        </w:rPr>
        <w:t>U.S. Withholding under FATCA</w:t>
      </w:r>
    </w:p>
    <w:p w14:paraId="43549FCF" w14:textId="77777777" w:rsidR="009527F8" w:rsidRPr="00494D8C" w:rsidRDefault="009527F8" w:rsidP="006770F0">
      <w:pPr>
        <w:pStyle w:val="NormalOCAshurst"/>
        <w:ind w:left="567"/>
      </w:pPr>
      <w:r w:rsidRPr="00494D8C">
        <w:t>As further described in "</w:t>
      </w:r>
      <w:r w:rsidRPr="00494D8C">
        <w:rPr>
          <w:i/>
        </w:rPr>
        <w:t>FATCA</w:t>
      </w:r>
      <w:r w:rsidRPr="00494D8C">
        <w:t>" below, payments to a non-U.S. entity could be subject to a separate 30 per cent. U.S. withholding tax without regard to the exemptions from U.S. withholding that may otherwise be available (including exemptions for amounts treated as portfolio interest).</w:t>
      </w:r>
    </w:p>
    <w:p w14:paraId="2083A989" w14:textId="77777777" w:rsidR="009527F8" w:rsidRPr="00494D8C" w:rsidRDefault="009527F8" w:rsidP="006770F0">
      <w:pPr>
        <w:pStyle w:val="NormalOCAshurst"/>
        <w:ind w:left="567"/>
        <w:rPr>
          <w:b/>
          <w:i/>
        </w:rPr>
      </w:pPr>
      <w:r w:rsidRPr="00494D8C">
        <w:rPr>
          <w:b/>
          <w:i/>
        </w:rPr>
        <w:t>U.S. Withholding on Dividend Equivalent Payments</w:t>
      </w:r>
    </w:p>
    <w:p w14:paraId="760B9E5E" w14:textId="77777777" w:rsidR="009527F8" w:rsidRPr="00494D8C" w:rsidRDefault="009527F8" w:rsidP="006770F0">
      <w:pPr>
        <w:pStyle w:val="NormalOCAshurst"/>
        <w:ind w:left="567"/>
      </w:pPr>
      <w:r w:rsidRPr="00494D8C">
        <w:t>Under Section 871(m) of the Code and U.S. Treasury regulations thereunder (collectively, "</w:t>
      </w:r>
      <w:r w:rsidRPr="00494D8C">
        <w:rPr>
          <w:b/>
        </w:rPr>
        <w:t>Section 871(m)</w:t>
      </w:r>
      <w:r w:rsidRPr="00494D8C">
        <w:fldChar w:fldCharType="begin"/>
      </w:r>
      <w:r w:rsidRPr="00494D8C">
        <w:instrText xml:space="preserve"> XE "Section 871(m)" </w:instrText>
      </w:r>
      <w:r w:rsidRPr="00494D8C">
        <w:fldChar w:fldCharType="end"/>
      </w:r>
      <w:r w:rsidRPr="00494D8C">
        <w:t xml:space="preserve">"), payments on financial instruments that reference shares of one or more U.S. corporations may be treated as "dividend equivalent" payments that are subject to U.S. withholding tax at a rate of 30 per cent. For these purposes, a financial instrument that references certain funds or other investment vehicles that hold an interest in shares of a U.S. corporation, whether directly or synthetically through a financial instrument, may be treated as referencing the shares of the U.S. corporation. Generally, a "dividend equivalent" is a payment that is directly or indirectly contingent upon a U.S. source dividend or is determined by reference to a U.S. source dividend. For financial instruments issued on or after 1 January 2017 but prior to 1 January 2025, regulations and guidance under Section 871(m) provide that dividend equivalent payments will be subject to withholding if the instrument has a "delta" of one with respect to either an underlying U.S. stock or a U.S. stock component of an underlying index or basket. For financial instruments issued on or after 1 January 2025, dividend equivalent payments on (i) a "simple" financial instrument that has a delta of 0.8 or greater with respect to an underlying U.S. stock or a U.S. stock component of an underlying index or basket and (ii) a "complex" financial instrument that meets the </w:t>
      </w:r>
      <w:r w:rsidRPr="00494D8C">
        <w:lastRenderedPageBreak/>
        <w:t>"substantial equivalence" test with respect to an underlying U.S. stock or a U.S. stock component of an underlying index or basket, will be subject to withholding tax under Section 871(m). A simple financial instrument is an instrument which, with respect to each underlying U.S. stock or U.S. stock component of an underlying index or basket, all amounts to be paid or received on maturity, exercise, or any other payment determination date are calculated by reference to a single, fixed number of shares of the underlying U.S. stock or U.S. stock component, provided that the number of shares can be ascertained at the calculation time for the instrument, and there is a single maturity or exercise date with respect to which all amounts (other than any upfront payment or any periodic payments) are required to be calculated with respect to the underlying U.S. stock or U.S. stock component. An example of a simple financial instrument is an instrument that entitles the holder to all of the appreciation (or a reduction in the principal payment equal to all of the depreciation) in the value of 100 shares of a U.S. stock and any periodic dividends on such shares. Very generally, a complex financial instrument is an instrument that is not a simple financial instrument as described above.</w:t>
      </w:r>
    </w:p>
    <w:p w14:paraId="36C785CB" w14:textId="77777777" w:rsidR="009527F8" w:rsidRPr="00494D8C" w:rsidRDefault="009527F8" w:rsidP="006770F0">
      <w:pPr>
        <w:pStyle w:val="NormalOCAshurst"/>
        <w:ind w:left="567"/>
      </w:pPr>
      <w:r w:rsidRPr="00494D8C">
        <w:t>The delta of a financial instrument generally is defined as the ratio of the change in the fair market value of the instrument to a small change in the fair market value of the number of shares of the underlying U.S. corporation. A financial instrument generally will be treated as having a delta of one if it provides for 100 per cent. participation in all of the appreciation and depreciation of one or more underlying U.S. stocks. Very broadly, the substantial equivalence test for complex financial instruments analyses whether a financial instrument has a correlation to the applicable underlying U.S. stock that is at least as great as that of a simple financial instrument with a delta of at least 0.8.</w:t>
      </w:r>
    </w:p>
    <w:p w14:paraId="1F648A26" w14:textId="77777777" w:rsidR="009527F8" w:rsidRPr="00494D8C" w:rsidRDefault="009527F8" w:rsidP="006770F0">
      <w:pPr>
        <w:pStyle w:val="NormalOCAshurst"/>
        <w:ind w:left="567"/>
      </w:pPr>
      <w:r w:rsidRPr="00494D8C">
        <w:t>The delta or substantial equivalence of a financial instrument generally is determined either as of the pricing or issue date of the instrument, in accordance with the regulations. However, the issue date must be used as the determination date if a financial instrument is priced more than 14 calendar days before it is issued. In addition, the delta or substantial equivalence of Securities that are held in inventory by an affiliate of the Issuer (between issuance and sale to an investor) may be required to be retested at the time of sale or disposition from inventory by such affiliate. If Securities sold from inventory are determined to be subject to withholding under Section 871(m) and the same Series of Securities sold at issuance were determined not to be subject to Section 871(m), Non-U.S. Holders of Securities sold at issuance may be adversely affected to the extent the Issuer does not, or is unable to, separately track and distinguish Securities sold to investors at issuance from those sold out of inventory. Further, a Security may be treated as reissued for purposes of Section 871(m) upon a significant modification of the terms of the Security. In this context, a rebalancing or adjustment to the components of an underlying index or basket may result in the deemed reissuance of the Security (including for purposes of applying the effective dates provided in Section 871(m)). The Issuer intends to take the position that a Security should not be treated as reissued for this purpose as a result of a non-discretionary rebalancing or adjustment to the components of an underlying index or basket, an exercise of discretion by the index or basket provider or a board or committee responsible for maintaining the index or basket in interpreting its published, predefined criteria, or an exercise of discretion otherwise required as a result of a Market Disruption Event or similar events. Upon a significant modification, a Security that was not subject to withholding under Section 871(m) at issuance may become subject to withholding at the time of the deemed reissuance.</w:t>
      </w:r>
    </w:p>
    <w:p w14:paraId="6F149FA1" w14:textId="77777777" w:rsidR="009527F8" w:rsidRPr="00494D8C" w:rsidRDefault="009527F8" w:rsidP="006770F0">
      <w:pPr>
        <w:pStyle w:val="NormalOCAshurst"/>
        <w:ind w:left="567"/>
      </w:pPr>
      <w:r w:rsidRPr="00494D8C">
        <w:t>A Series of Securities that references an index or basket that is treated as a "qualified index" will not be subject to withholding under Section 871(m), even if such Securities meet, as applicable, the delta or substantial equivalence test with respect to a U.S. stock component of the index. In general, a qualified index is a diverse, passive, and widely used index that satisfies, as of the applicable determination date, the technical requirements prescribed by regulations. Whether a Series of Securities is treated as referencing a qualified index is determined at pricing or issuance of the Securities, in accordance with the regulations. If a Series of Securities is treated as referencing a qualified index, such Securities generally will not become subject to withholding under Section 871(m) in a subsequent year after such determination unless (i) the Securities are treated as significantly modified (including by certain changes to the index), (ii) the Securities are determined to meet the delta or substantial equivalence test, as applicable, at the time they are significantly modified and (iii) the index referenced by the Securities is no longer treated as a qualified index. In addition, if a Non-U.S. Holder or a related party enters into one or more transactions in connection with a Security that reduce exposure to any component of an underlying index that is otherwise treated as a qualified index, the Security will not, subject to certain limited exceptions (such as transactions that reduce exposure to the entire index or that reduce exposure to components of the underlying index by five percent or less of the value of the index), be treated as referencing a qualified index. In such case, the Non-U.S. Holder may be subject to Section 8</w:t>
      </w:r>
      <w:r w:rsidRPr="001B15E8">
        <w:t>71(m) t</w:t>
      </w:r>
      <w:r w:rsidRPr="00494D8C">
        <w:t>ax even though the Issuer and other withholding agents may not withhold with respect to the Security.</w:t>
      </w:r>
    </w:p>
    <w:p w14:paraId="053CDCCD" w14:textId="77777777" w:rsidR="009527F8" w:rsidRPr="00494D8C" w:rsidRDefault="009527F8" w:rsidP="006770F0">
      <w:pPr>
        <w:pStyle w:val="NormalOCAshurst"/>
        <w:ind w:left="567"/>
      </w:pPr>
      <w:r w:rsidRPr="00494D8C">
        <w:lastRenderedPageBreak/>
        <w:t>In addition, a Security that in isolation is not subject to Section 871(m) may nonetheless be subject to Section 871(m) if the Non-U.S. Holder has engaged, or engages, in other transactions in respect of an underlying U.S. stock or component of an underlying index or basket in connection with the Security. For these purposes, a Security and such other transactions will be subject to withholding under Section 871(m) if, in the aggregate, they replicate the economics of a transaction that would be a Section 871(m) simple financial instrument. In such situations, such Non-U.S. Holders could be subject to Section 871(m) tax even if the Issuer does not withhold in respect of the Security. Further, a Non-U.S. Holder may be required, including by custodians and other withholding agents with respect to the Security, to make representations regarding the nature of any other positions with respect to U.S. stock directly or indirectly referenced (including components of any index or basket) by such Security. A Non-U.S. Holder that enters, or has entered, into other transactions in respect of a U.S. stock, component of an underlying index or basket, or the Securities should consult its own tax advisor regarding the application of Section 871(m) to the Securities and such other transactions.</w:t>
      </w:r>
    </w:p>
    <w:p w14:paraId="0AEF5AF3" w14:textId="77777777" w:rsidR="009527F8" w:rsidRPr="00494D8C" w:rsidRDefault="009527F8" w:rsidP="006770F0">
      <w:pPr>
        <w:pStyle w:val="NormalOCAshurst"/>
        <w:ind w:left="567"/>
      </w:pPr>
      <w:r w:rsidRPr="00494D8C">
        <w:t>The relevant Pricing Supplement will indicate if the Issuer has determined that the particular issue of Securities is expected to be subject to withholding under Section 871(m). For Securities deposited with the Relevant Clearing System(s) that are determined to be subject to withholding under Section 871(m), unless otherwise indicated in the Pricing Supplement, the Issuer will withhold at source on any dividend equivalent amounts and comply with certain related reporting requirements imposed by the clearing organisation in respect of such Securities. For Securities deposited with other clearing organisations, the Pricing Supplement may describe alternative withholding procedures based on any requirements of such organisations. Any determination by the Issuer on the application of Section 871(m) to a particular Security generally is binding on beneficial owners and Holders, but is not binding on the IRS. The Section 871(m) regulations require complex calculations to be made with respect to Securities referencing shares of U.S. corporations and their application to a specific issue of Securities may be uncertain. Accordingly, even if the Issuer determines that a Security is not subject to Section 871(m), the IRS could assert that withholding is required in respect of such Security, including where the IRS concludes that the delta or substantial equivalence with respect to the Security was determined more than 14 days prior to the Security's issue date.</w:t>
      </w:r>
    </w:p>
    <w:p w14:paraId="1B80D1C7" w14:textId="3ABF5B80" w:rsidR="009527F8" w:rsidRPr="00494D8C" w:rsidRDefault="009527F8" w:rsidP="006770F0">
      <w:pPr>
        <w:pStyle w:val="NormalOCAshurst"/>
        <w:ind w:left="567"/>
      </w:pPr>
      <w:r w:rsidRPr="00494D8C">
        <w:t xml:space="preserve">For Securities deposited with the Relevant Clearing System(s), unless indicated otherwise in the relevant Pricing Supplement, the rate of any withholding generally will not be reduced even if the beneficial owner is not subject to (or exempted from) the withholding tax (such as beneficial owners that are "United States persons") or is eligible for a reduction under an applicable treaty. In certain limited circumstances, and regardless of the Relevant Clearing System with whom the Securities are deposited, the Pricing Supplement may specify if the Issuer or other withholding agent will be able to withhold based on lower treaty rates to which Non-U.S. Holders may be entitled or to take account of a Non-U.S. Holder's exemption from the withholding tax. In general, Non-U.S. Holders may be able to claim a refund for any excess amounts withheld by filing a U.S. tax return. However, Holders and beneficial owners may not receive the necessary information to properly claim a refund for excess withholding taxes. In addition, the IRS may not credit a Non-U.S. Holder with withholding taxes remitted in respect of its Security for purposes of claiming a refund. Finally, a Non-U.S. Holder's resident tax jurisdiction may not permit the Non-U.S. Holder to take a credit for U.S. withholding taxes related to the dividend equivalent amount. In any event, the Issuers will not be required to pay any additional amounts in respect of amounts withheld under Section 871(m) unless (i) "gross up" is specified to be applicable in the relevant Pricing Supplement, (ii) "Exclude Section 871(m) Taxes from Gross Up" is specified not to be applicable therein, and (iii) the withholding is not treated by the Issuer as occurring due to actions of such investor (as described in General Condition </w:t>
      </w:r>
      <w:r w:rsidR="006770F0" w:rsidRPr="00494D8C">
        <w:t>18.2(n)</w:t>
      </w:r>
      <w:r w:rsidRPr="00494D8C">
        <w:t xml:space="preserve"> (</w:t>
      </w:r>
      <w:r w:rsidRPr="00494D8C">
        <w:rPr>
          <w:i/>
        </w:rPr>
        <w:t>Circumstances in which Additional Amounts will not be paid</w:t>
      </w:r>
      <w:r w:rsidRPr="00494D8C">
        <w:t>)).</w:t>
      </w:r>
    </w:p>
    <w:p w14:paraId="37FC8D4B" w14:textId="77777777" w:rsidR="009527F8" w:rsidRPr="00494D8C" w:rsidRDefault="009527F8" w:rsidP="006770F0">
      <w:pPr>
        <w:pStyle w:val="NormalOCAshurst"/>
        <w:ind w:left="567"/>
      </w:pPr>
      <w:r w:rsidRPr="00494D8C">
        <w:t>If a Series of Securities is determined to be subject to U.S. withholding tax under Section 871(m), information regarding the amount of each dividend equivalent, the delta of the Securities, the amount of any tax withheld and deposited, the estimated dividend amount (if applicable), and any other information required under the regulations, will be provided, communicated, or made available to Holders in a manner permitted by applicable regulations. The Pricing Supplement will specify how such information will be made available to Holders. Withholding on payments will be based on actual dividends on the underlying U.S. stock or, if otherwise notified by the Issuer in accordance with applicable regulations, on estimated dividends used in pricing the Securities. Where a Series of Securities that references estimated dividend amounts also provides for any additional payments to reflect actual dividends on the underlying U.S. stock (e.g., extraordinary dividends), withholding tax will also apply to any additional payments.</w:t>
      </w:r>
    </w:p>
    <w:p w14:paraId="6EC55374" w14:textId="77777777" w:rsidR="009527F8" w:rsidRPr="00494D8C" w:rsidRDefault="009527F8" w:rsidP="006770F0">
      <w:pPr>
        <w:pStyle w:val="NormalOCAshurst"/>
        <w:ind w:left="567"/>
      </w:pPr>
      <w:r w:rsidRPr="00494D8C">
        <w:lastRenderedPageBreak/>
        <w:t>If the Issuer determines that a Security is subject to withholding under Section 871(m), withholding tax will apply in respect of the actual (or estimated, as described above) dividends that are paid on the underlying U.S. stock and may apply even if the Issuer does not make a concurrent payment to the Holder. In addition, the U.S. tax may be withheld on any portion of a payment or deemed payment that is a dividend equivalent. Withholding under Section 871(m) generally will be required when payments are made on the Security or upon maturity, lapse or other disposition by the Non-U.S. Holder of the Security. Alternatively, such withholding may occur in certain cases at the time a dividend is paid on the relevant U.S. stock (or, in certain other cases, at the close of the quarter upon which the dividend is paid). Upon remitting the taxes withheld to the IRS, any increase in value of the relevant asset, index or basket or distributions to a Holder in respect of a dividend equivalent will reflect the amount of the dividend net of the withholding described above.</w:t>
      </w:r>
    </w:p>
    <w:p w14:paraId="231F87D9" w14:textId="77777777" w:rsidR="009527F8" w:rsidRPr="00494D8C" w:rsidRDefault="009527F8" w:rsidP="006770F0">
      <w:pPr>
        <w:pStyle w:val="NormalOCAshurst"/>
        <w:ind w:left="567"/>
      </w:pPr>
      <w:r w:rsidRPr="00494D8C">
        <w:t>Non-U.S. Holders should consult with their tax advisers regarding the potential application of Section 871(m) to the Securities.</w:t>
      </w:r>
    </w:p>
    <w:p w14:paraId="0BAB494E" w14:textId="77777777" w:rsidR="009527F8" w:rsidRPr="00494D8C" w:rsidRDefault="009527F8" w:rsidP="006770F0">
      <w:pPr>
        <w:pStyle w:val="NormalOCAshurst"/>
        <w:ind w:left="567"/>
        <w:rPr>
          <w:b/>
          <w:i/>
        </w:rPr>
      </w:pPr>
      <w:r w:rsidRPr="00494D8C">
        <w:rPr>
          <w:b/>
          <w:i/>
        </w:rPr>
        <w:t xml:space="preserve">U.S. Foreign Investment in Real Property Tax Act </w:t>
      </w:r>
    </w:p>
    <w:p w14:paraId="4527F506" w14:textId="77777777" w:rsidR="009527F8" w:rsidRPr="00494D8C" w:rsidRDefault="009527F8" w:rsidP="006770F0">
      <w:pPr>
        <w:pStyle w:val="NormalOCAshurst"/>
        <w:ind w:left="567"/>
      </w:pPr>
      <w:r w:rsidRPr="00494D8C">
        <w:t>Under Section 897 of the Code, commonly referred to as the U.S. Foreign Investment in Real Property Tax Act ("</w:t>
      </w:r>
      <w:r w:rsidRPr="00494D8C">
        <w:rPr>
          <w:b/>
        </w:rPr>
        <w:t>FIRPTA</w:t>
      </w:r>
      <w:r w:rsidRPr="00494D8C">
        <w:rPr>
          <w:b/>
        </w:rPr>
        <w:fldChar w:fldCharType="begin"/>
      </w:r>
      <w:r w:rsidRPr="00494D8C">
        <w:instrText xml:space="preserve"> XE "FIRPTA" </w:instrText>
      </w:r>
      <w:r w:rsidRPr="00494D8C">
        <w:rPr>
          <w:b/>
        </w:rPr>
        <w:fldChar w:fldCharType="end"/>
      </w:r>
      <w:r w:rsidRPr="00494D8C">
        <w:t>"), a Non-U.S. Holder may be subject to U.S. federal income tax on a disposition of a United States real property interest (a "</w:t>
      </w:r>
      <w:proofErr w:type="spellStart"/>
      <w:r w:rsidRPr="00494D8C">
        <w:rPr>
          <w:b/>
        </w:rPr>
        <w:t>USRPI</w:t>
      </w:r>
      <w:proofErr w:type="spellEnd"/>
      <w:r w:rsidRPr="00494D8C">
        <w:rPr>
          <w:b/>
        </w:rPr>
        <w:fldChar w:fldCharType="begin"/>
      </w:r>
      <w:r w:rsidRPr="00494D8C">
        <w:instrText xml:space="preserve"> XE "</w:instrText>
      </w:r>
      <w:proofErr w:type="spellStart"/>
      <w:r w:rsidRPr="00494D8C">
        <w:instrText>USRPI</w:instrText>
      </w:r>
      <w:proofErr w:type="spellEnd"/>
      <w:r w:rsidRPr="00494D8C">
        <w:instrText xml:space="preserve">" </w:instrText>
      </w:r>
      <w:r w:rsidRPr="00494D8C">
        <w:rPr>
          <w:b/>
        </w:rPr>
        <w:fldChar w:fldCharType="end"/>
      </w:r>
      <w:r w:rsidRPr="00494D8C">
        <w:t xml:space="preserve">"). Very generally, a </w:t>
      </w:r>
      <w:proofErr w:type="spellStart"/>
      <w:r w:rsidRPr="00494D8C">
        <w:t>USRPI</w:t>
      </w:r>
      <w:proofErr w:type="spellEnd"/>
      <w:r w:rsidRPr="00494D8C">
        <w:t xml:space="preserve"> may be an interest in U.S. real property or an interest in a United States real property holding corporation (a "</w:t>
      </w:r>
      <w:proofErr w:type="spellStart"/>
      <w:r w:rsidRPr="00494D8C">
        <w:rPr>
          <w:b/>
        </w:rPr>
        <w:t>USRPHC</w:t>
      </w:r>
      <w:proofErr w:type="spellEnd"/>
      <w:r w:rsidRPr="00494D8C">
        <w:rPr>
          <w:b/>
        </w:rPr>
        <w:fldChar w:fldCharType="begin"/>
      </w:r>
      <w:r w:rsidRPr="00494D8C">
        <w:instrText xml:space="preserve"> XE "</w:instrText>
      </w:r>
      <w:proofErr w:type="spellStart"/>
      <w:r w:rsidRPr="00494D8C">
        <w:instrText>USRPHC</w:instrText>
      </w:r>
      <w:proofErr w:type="spellEnd"/>
      <w:r w:rsidRPr="00494D8C">
        <w:instrText xml:space="preserve">" </w:instrText>
      </w:r>
      <w:r w:rsidRPr="00494D8C">
        <w:rPr>
          <w:b/>
        </w:rPr>
        <w:fldChar w:fldCharType="end"/>
      </w:r>
      <w:r w:rsidRPr="00494D8C">
        <w:t xml:space="preserve">") within the meaning of section 897 of the Code. However, an interest in a </w:t>
      </w:r>
      <w:proofErr w:type="spellStart"/>
      <w:r w:rsidRPr="00494D8C">
        <w:t>USRPHC</w:t>
      </w:r>
      <w:proofErr w:type="spellEnd"/>
      <w:r w:rsidRPr="00494D8C">
        <w:t xml:space="preserve"> that does not exceed generally 5 per cent. of the corporation's regularly traded stock is not a </w:t>
      </w:r>
      <w:proofErr w:type="spellStart"/>
      <w:r w:rsidRPr="00494D8C">
        <w:t>USRPI</w:t>
      </w:r>
      <w:proofErr w:type="spellEnd"/>
      <w:r w:rsidRPr="00494D8C">
        <w:t>, after taking into account shares or interests of the underlying issuer that are directly, indirectly or constructively owned by such Non-U.S. Holder. In addition, holding the Securities may also impact the taxation of such other shares or interests.</w:t>
      </w:r>
    </w:p>
    <w:p w14:paraId="28EFD028" w14:textId="77777777" w:rsidR="009527F8" w:rsidRPr="00494D8C" w:rsidRDefault="009527F8" w:rsidP="006770F0">
      <w:pPr>
        <w:pStyle w:val="NormalOCAshurst"/>
        <w:ind w:left="567"/>
      </w:pPr>
      <w:r w:rsidRPr="00494D8C">
        <w:t xml:space="preserve">The Issuer will not attempt to ascertain whether an issuer of reference shares, or an issuer of shares that are components of an Index or basket of securities, is a </w:t>
      </w:r>
      <w:proofErr w:type="spellStart"/>
      <w:r w:rsidRPr="00494D8C">
        <w:t>USRPHC</w:t>
      </w:r>
      <w:proofErr w:type="spellEnd"/>
      <w:r w:rsidRPr="00494D8C">
        <w:t xml:space="preserve">. To the extent a Security is treated as a </w:t>
      </w:r>
      <w:proofErr w:type="spellStart"/>
      <w:r w:rsidRPr="00494D8C">
        <w:t>USRPI</w:t>
      </w:r>
      <w:proofErr w:type="spellEnd"/>
      <w:r w:rsidRPr="00494D8C">
        <w:t xml:space="preserve">, any gain from the disposition thereof generally would be subject to U.S. federal income tax and required to be reported by the Non-U.S. Holder on a U.S. federal income tax return, and the amount realised on such disposition would in certain cases be subject to withholding at a rate of 15 per cent. Even if the Issuer does not withhold, there can be no assurance that a withholding agent will not withhold in respect of a Security. A Non-U.S. Holder may have U.S. income tax liability that exceeds amounts withheld, if any. Neither the Issuer, the Guarantor nor a withholding agent will pay any additional amounts in respect of amounts withheld or any tax liability arising under section 897 of the Code. </w:t>
      </w:r>
    </w:p>
    <w:p w14:paraId="1311545E" w14:textId="77777777" w:rsidR="009527F8" w:rsidRPr="00494D8C" w:rsidRDefault="009527F8" w:rsidP="006770F0">
      <w:pPr>
        <w:pStyle w:val="NormalOCAshurst"/>
        <w:ind w:left="567"/>
      </w:pPr>
      <w:r w:rsidRPr="00494D8C">
        <w:t>Non-U.S. Holders should consult with their tax advisors regarding the application of section 897 to an investment in their Securities.</w:t>
      </w:r>
    </w:p>
    <w:p w14:paraId="1ADE58B7" w14:textId="77777777" w:rsidR="009527F8" w:rsidRPr="00494D8C" w:rsidRDefault="009527F8" w:rsidP="006770F0">
      <w:pPr>
        <w:pStyle w:val="NormalOCAshurst"/>
        <w:ind w:left="567"/>
        <w:rPr>
          <w:b/>
          <w:i/>
        </w:rPr>
      </w:pPr>
      <w:r w:rsidRPr="00494D8C">
        <w:rPr>
          <w:b/>
          <w:i/>
        </w:rPr>
        <w:t xml:space="preserve">U.S. Information Reporting and Backup Withholding </w:t>
      </w:r>
    </w:p>
    <w:p w14:paraId="5EFE31A8" w14:textId="77777777" w:rsidR="009527F8" w:rsidRPr="00494D8C" w:rsidRDefault="009527F8" w:rsidP="006770F0">
      <w:pPr>
        <w:pStyle w:val="NormalOCAshurst"/>
        <w:ind w:left="567"/>
      </w:pPr>
      <w:r w:rsidRPr="00494D8C">
        <w:t xml:space="preserve">Amounts payable on, and the proceeds of a sale, redemption or other taxable disposition of, Securities may be subject to information reporting. Such amounts may also be subject to backup withholding if a Non-U.S. Holder fails to provide certain identifying information (such as an accurate taxpayer identification number) or meets certain other conditions. Non-U.S. Holders should consult their tax advisers as to their qualification for exemption from backup withholding and the procedure for obtaining an exemption. Amounts withheld under the backup withholding rules are not additional taxes and may be refunded or credited against a Non-U.S. Holder's U.S. federal income tax liability, provided the relevant information is timely furnished to the IRS. </w:t>
      </w:r>
    </w:p>
    <w:p w14:paraId="58C3D751" w14:textId="77777777" w:rsidR="009527F8" w:rsidRPr="00494D8C" w:rsidRDefault="009527F8" w:rsidP="006770F0">
      <w:pPr>
        <w:pStyle w:val="NormalOCAshurst"/>
        <w:ind w:left="567"/>
        <w:rPr>
          <w:b/>
        </w:rPr>
      </w:pPr>
      <w:r w:rsidRPr="00494D8C">
        <w:rPr>
          <w:b/>
        </w:rPr>
        <w:t xml:space="preserve">Taxation of Securities issued by </w:t>
      </w:r>
      <w:proofErr w:type="spellStart"/>
      <w:r w:rsidRPr="00494D8C">
        <w:rPr>
          <w:b/>
        </w:rPr>
        <w:t>JPMSP</w:t>
      </w:r>
      <w:proofErr w:type="spellEnd"/>
      <w:r w:rsidRPr="00494D8C">
        <w:rPr>
          <w:b/>
        </w:rPr>
        <w:t xml:space="preserve"> </w:t>
      </w:r>
    </w:p>
    <w:p w14:paraId="6C281DBB" w14:textId="77777777" w:rsidR="009527F8" w:rsidRPr="00494D8C" w:rsidRDefault="009527F8" w:rsidP="006770F0">
      <w:pPr>
        <w:pStyle w:val="NormalOCAshurst"/>
        <w:ind w:left="567"/>
      </w:pPr>
      <w:r w:rsidRPr="00494D8C">
        <w:t xml:space="preserve">The summary below addresses purchasers of Securities issued by </w:t>
      </w:r>
      <w:proofErr w:type="spellStart"/>
      <w:r w:rsidRPr="00494D8C">
        <w:t>JPMSP</w:t>
      </w:r>
      <w:proofErr w:type="spellEnd"/>
      <w:r w:rsidRPr="00494D8C">
        <w:t>.</w:t>
      </w:r>
    </w:p>
    <w:p w14:paraId="5A0990EF" w14:textId="77777777" w:rsidR="009527F8" w:rsidRPr="00494D8C" w:rsidRDefault="009527F8" w:rsidP="006770F0">
      <w:pPr>
        <w:pStyle w:val="NormalOCAshurst"/>
        <w:ind w:left="567"/>
        <w:rPr>
          <w:b/>
        </w:rPr>
      </w:pPr>
      <w:r w:rsidRPr="00494D8C">
        <w:rPr>
          <w:b/>
        </w:rPr>
        <w:t>Taxation of U.S. Holders</w:t>
      </w:r>
    </w:p>
    <w:p w14:paraId="3C0A005C" w14:textId="77777777" w:rsidR="009527F8" w:rsidRPr="00494D8C" w:rsidRDefault="009527F8" w:rsidP="006770F0">
      <w:pPr>
        <w:pStyle w:val="NormalOCAshurst"/>
        <w:ind w:left="567"/>
        <w:rPr>
          <w:b/>
        </w:rPr>
      </w:pPr>
      <w:r w:rsidRPr="00494D8C">
        <w:rPr>
          <w:b/>
        </w:rPr>
        <w:t>U.S. Holders generally should see the discussion under "General" and "</w:t>
      </w:r>
      <w:r w:rsidRPr="00494D8C">
        <w:rPr>
          <w:b/>
          <w:i/>
        </w:rPr>
        <w:t xml:space="preserve">Taxation of Securities issued by </w:t>
      </w:r>
      <w:proofErr w:type="spellStart"/>
      <w:r w:rsidRPr="00494D8C">
        <w:rPr>
          <w:b/>
          <w:i/>
        </w:rPr>
        <w:t>JPMCFC</w:t>
      </w:r>
      <w:proofErr w:type="spellEnd"/>
      <w:r w:rsidRPr="00494D8C">
        <w:rPr>
          <w:b/>
          <w:i/>
        </w:rPr>
        <w:t>, JPMorgan Chase &amp; Co. or JPMorgan Chase Bank, N.A.—Taxation of U.S. Holders</w:t>
      </w:r>
      <w:r w:rsidRPr="00494D8C">
        <w:rPr>
          <w:b/>
        </w:rPr>
        <w:t>" for the U.S. federal income tax treatment of the Securities, although the source of income may differ than as described therein.</w:t>
      </w:r>
    </w:p>
    <w:p w14:paraId="66BC9399" w14:textId="77777777" w:rsidR="009527F8" w:rsidRPr="00494D8C" w:rsidRDefault="009527F8" w:rsidP="006770F0">
      <w:pPr>
        <w:pStyle w:val="NormalOCAshurst"/>
        <w:keepNext/>
        <w:ind w:left="567"/>
        <w:rPr>
          <w:b/>
          <w:i/>
        </w:rPr>
      </w:pPr>
      <w:r w:rsidRPr="00494D8C">
        <w:rPr>
          <w:b/>
          <w:i/>
        </w:rPr>
        <w:lastRenderedPageBreak/>
        <w:t>Foreign Financial Asset Reporting Requirements</w:t>
      </w:r>
    </w:p>
    <w:p w14:paraId="6B774E0A" w14:textId="77777777" w:rsidR="009527F8" w:rsidRPr="00494D8C" w:rsidRDefault="009527F8" w:rsidP="006770F0">
      <w:pPr>
        <w:pStyle w:val="NormalOCAshurst"/>
        <w:ind w:left="567"/>
      </w:pPr>
      <w:r w:rsidRPr="00494D8C">
        <w:t>A U.S. Holder that is an individual and holds certain foreign financial assets must file new IRS Form 8938 to report the ownership of such assets if the total value of those assets exceeds the applicable threshold amounts. In general, specified foreign financial assets include stocks or securities issued by a non-U.S. person, any interest in a foreign entity, any financial instrument or contract that has an issuer or counterparty that is not a U.S. person. Certain domestic corporations, partnerships and trusts that hold, directly or indirectly, specified foreign financial assets may be required to file IRS Form 8938. In addition, certain non-resident alien individuals may be required to file Form 8938, notwithstanding the availability of any special treatment under an income tax treaty. Such form generally is not required to be filed with respect to a Security that is held through a U.S. payer, such as a U.S. financial institution, a U.S. branch of a non-U.S. bank, and certain non-U.S. branches or subsidiaries of U.S. financial institutions.</w:t>
      </w:r>
    </w:p>
    <w:p w14:paraId="5AF9C054" w14:textId="77777777" w:rsidR="009527F8" w:rsidRPr="00494D8C" w:rsidRDefault="009527F8" w:rsidP="006770F0">
      <w:pPr>
        <w:pStyle w:val="NormalOCAshurst"/>
        <w:ind w:left="567"/>
      </w:pPr>
      <w:r w:rsidRPr="00494D8C">
        <w:t>Taxpayers who fail to make the required disclosure with respect to any taxable year are subject to certain penalties. In addition, the failure to file Form 8938 will extend the statute of limitations for a taxpayer's entire related income tax return until at least three years after the date on which the Form 8938 is filed.</w:t>
      </w:r>
    </w:p>
    <w:p w14:paraId="3A544988" w14:textId="77777777" w:rsidR="009527F8" w:rsidRPr="00494D8C" w:rsidRDefault="009527F8" w:rsidP="006770F0">
      <w:pPr>
        <w:pStyle w:val="NormalOCAshurst"/>
        <w:ind w:left="567"/>
      </w:pPr>
      <w:r w:rsidRPr="00494D8C">
        <w:t>All U.S. Holders are urged to consult with their own tax advisors with respect to whether a Security is a foreign financial asset that (if the applicable threshold was met) would be subject to this rule.</w:t>
      </w:r>
    </w:p>
    <w:p w14:paraId="4E95B947" w14:textId="77777777" w:rsidR="009527F8" w:rsidRPr="00494D8C" w:rsidRDefault="009527F8" w:rsidP="006770F0">
      <w:pPr>
        <w:pStyle w:val="NormalOCAshurst"/>
        <w:ind w:left="567"/>
        <w:rPr>
          <w:b/>
        </w:rPr>
      </w:pPr>
      <w:r w:rsidRPr="00494D8C">
        <w:rPr>
          <w:b/>
        </w:rPr>
        <w:t>Taxation of Non-U.S. Holders</w:t>
      </w:r>
    </w:p>
    <w:p w14:paraId="60F1AE96" w14:textId="77777777" w:rsidR="009527F8" w:rsidRPr="00494D8C" w:rsidRDefault="009527F8" w:rsidP="006770F0">
      <w:pPr>
        <w:pStyle w:val="NormalOCAshurst"/>
        <w:ind w:left="567"/>
        <w:rPr>
          <w:b/>
          <w:i/>
        </w:rPr>
      </w:pPr>
      <w:r w:rsidRPr="00494D8C">
        <w:rPr>
          <w:b/>
          <w:i/>
        </w:rPr>
        <w:t>U.S. Withholding Taxes</w:t>
      </w:r>
    </w:p>
    <w:p w14:paraId="32C38982" w14:textId="77777777" w:rsidR="009527F8" w:rsidRPr="00494D8C" w:rsidRDefault="009527F8" w:rsidP="006770F0">
      <w:pPr>
        <w:pStyle w:val="NormalOCAshurst"/>
        <w:ind w:left="567"/>
      </w:pPr>
      <w:r w:rsidRPr="00494D8C">
        <w:t>Subject to the discussions above in "</w:t>
      </w:r>
      <w:r w:rsidRPr="00494D8C">
        <w:rPr>
          <w:i/>
        </w:rPr>
        <w:t xml:space="preserve">Taxation of Securities issued by </w:t>
      </w:r>
      <w:proofErr w:type="spellStart"/>
      <w:r w:rsidRPr="00494D8C">
        <w:rPr>
          <w:i/>
        </w:rPr>
        <w:t>JPMCFC</w:t>
      </w:r>
      <w:proofErr w:type="spellEnd"/>
      <w:r w:rsidRPr="00494D8C">
        <w:rPr>
          <w:i/>
        </w:rPr>
        <w:t>, JPMorgan Chase &amp; Co. or JPMorgan Chase Bank, N.A.—Taxation of Non-U.S. Holders—U.S. Withholding under FATCA</w:t>
      </w:r>
      <w:r w:rsidRPr="00494D8C">
        <w:t>", "</w:t>
      </w:r>
      <w:r w:rsidRPr="00494D8C">
        <w:rPr>
          <w:i/>
        </w:rPr>
        <w:t xml:space="preserve">Taxation of Securities issued by </w:t>
      </w:r>
      <w:proofErr w:type="spellStart"/>
      <w:r w:rsidRPr="00494D8C">
        <w:rPr>
          <w:i/>
        </w:rPr>
        <w:t>JPMCFC</w:t>
      </w:r>
      <w:proofErr w:type="spellEnd"/>
      <w:r w:rsidRPr="00494D8C">
        <w:rPr>
          <w:i/>
        </w:rPr>
        <w:t>, JPMorgan Chase &amp; Co. or JPMorgan Chase Bank, N.A.—Taxation of Non-U.S. Holders—U.S. Withholding on Dividend Equivalent Payments</w:t>
      </w:r>
      <w:r w:rsidRPr="00494D8C">
        <w:t>", and "</w:t>
      </w:r>
      <w:r w:rsidRPr="00494D8C">
        <w:rPr>
          <w:i/>
        </w:rPr>
        <w:t xml:space="preserve">Taxation of Securities issued by </w:t>
      </w:r>
      <w:proofErr w:type="spellStart"/>
      <w:r w:rsidRPr="00494D8C">
        <w:rPr>
          <w:i/>
        </w:rPr>
        <w:t>JPMCFC</w:t>
      </w:r>
      <w:proofErr w:type="spellEnd"/>
      <w:r w:rsidRPr="00494D8C">
        <w:rPr>
          <w:i/>
        </w:rPr>
        <w:t>, JPMorgan Chase &amp; Co. or JPMorgan Chase Bank, N.A.—Taxation of Non-U.S. Holders—U.S. Foreign Investment in Real Property Tax Act</w:t>
      </w:r>
      <w:r w:rsidRPr="00494D8C">
        <w:t>", and the discussion in "</w:t>
      </w:r>
      <w:r w:rsidRPr="00494D8C">
        <w:rPr>
          <w:i/>
        </w:rPr>
        <w:t>U.S. Information Reporting and Backup Withholding</w:t>
      </w:r>
      <w:r w:rsidRPr="00494D8C">
        <w:t>", below, and generally without regard to whether interest qualifies as portfolio interest, the relevant Issuer expects that payments on the Securities to a Non-U.S. Holder generally will not be subject to U.S. federal withholding tax. Accordingly, except to the extent the Pricing Supplement indicates otherwise and subject to the discussions above in the sections entitled "</w:t>
      </w:r>
      <w:r w:rsidRPr="00494D8C">
        <w:rPr>
          <w:i/>
        </w:rPr>
        <w:t xml:space="preserve">Taxation of Securities issued by </w:t>
      </w:r>
      <w:proofErr w:type="spellStart"/>
      <w:r w:rsidRPr="00494D8C">
        <w:rPr>
          <w:i/>
        </w:rPr>
        <w:t>JPMCFC</w:t>
      </w:r>
      <w:proofErr w:type="spellEnd"/>
      <w:r w:rsidRPr="00494D8C">
        <w:rPr>
          <w:i/>
        </w:rPr>
        <w:t>, JPMorgan Chase &amp; Co. or JPMorgan Chase Bank, N.A.—Taxation of Non-U.S. Holders—U.S. Withholding under FATCA</w:t>
      </w:r>
      <w:r w:rsidRPr="00494D8C">
        <w:t>", "</w:t>
      </w:r>
      <w:r w:rsidRPr="00494D8C">
        <w:rPr>
          <w:i/>
        </w:rPr>
        <w:t xml:space="preserve">Taxation of Securities issued by </w:t>
      </w:r>
      <w:proofErr w:type="spellStart"/>
      <w:r w:rsidRPr="00494D8C">
        <w:rPr>
          <w:i/>
        </w:rPr>
        <w:t>JPMCFC</w:t>
      </w:r>
      <w:proofErr w:type="spellEnd"/>
      <w:r w:rsidRPr="00494D8C">
        <w:rPr>
          <w:i/>
        </w:rPr>
        <w:t>, JPMorgan Chase &amp; Co. or JPMorgan Chase Bank, N.A.—Taxation of Non-U.S. Holders—U.S. Withholding on Dividend Equivalent Payments</w:t>
      </w:r>
      <w:r w:rsidRPr="00494D8C">
        <w:t>", and "</w:t>
      </w:r>
      <w:r w:rsidRPr="00494D8C">
        <w:rPr>
          <w:i/>
        </w:rPr>
        <w:t xml:space="preserve">Taxation of Securities issued by </w:t>
      </w:r>
      <w:proofErr w:type="spellStart"/>
      <w:r w:rsidRPr="00494D8C">
        <w:rPr>
          <w:i/>
        </w:rPr>
        <w:t>JPMCFC</w:t>
      </w:r>
      <w:proofErr w:type="spellEnd"/>
      <w:r w:rsidRPr="00494D8C">
        <w:rPr>
          <w:i/>
        </w:rPr>
        <w:t>, JPMorgan Chase &amp; Co. or JPMorgan Chase Bank, N.A.—Taxation of Non-U.S. Holders—U.S. Foreign Investment in Real Property Tax Act</w:t>
      </w:r>
      <w:r w:rsidRPr="00494D8C">
        <w:t>" (but generally without regard to whether interest qualifies as portfolio interest), the Issuer generally does not intend to withhold any amounts with respect to payments made to Non-U.S. Holders under the Securities.</w:t>
      </w:r>
    </w:p>
    <w:p w14:paraId="127F11FA" w14:textId="218A7D95" w:rsidR="009527F8" w:rsidRPr="00494D8C" w:rsidRDefault="009527F8" w:rsidP="006770F0">
      <w:pPr>
        <w:pStyle w:val="NormalOCAshurst"/>
        <w:ind w:left="567"/>
      </w:pPr>
      <w:r w:rsidRPr="00494D8C">
        <w:t>Further, subject to the discussion in the sections entitled "</w:t>
      </w:r>
      <w:r w:rsidRPr="00494D8C">
        <w:rPr>
          <w:i/>
        </w:rPr>
        <w:t xml:space="preserve">Taxation of Securities issued by </w:t>
      </w:r>
      <w:proofErr w:type="spellStart"/>
      <w:r w:rsidRPr="00494D8C">
        <w:rPr>
          <w:i/>
        </w:rPr>
        <w:t>JPMCFC</w:t>
      </w:r>
      <w:proofErr w:type="spellEnd"/>
      <w:r w:rsidRPr="00494D8C">
        <w:rPr>
          <w:i/>
        </w:rPr>
        <w:t>, JPMorgan Chase &amp; Co. or JPMorgan Chase Bank, N.A.—Taxation of Non-U.S. Holders—U.S. Withholding under FATCA</w:t>
      </w:r>
      <w:r w:rsidRPr="00494D8C">
        <w:t>", "</w:t>
      </w:r>
      <w:r w:rsidRPr="00494D8C">
        <w:rPr>
          <w:i/>
        </w:rPr>
        <w:t xml:space="preserve">Taxation of Securities issued by </w:t>
      </w:r>
      <w:proofErr w:type="spellStart"/>
      <w:r w:rsidRPr="00494D8C">
        <w:rPr>
          <w:i/>
        </w:rPr>
        <w:t>JPMCFC</w:t>
      </w:r>
      <w:proofErr w:type="spellEnd"/>
      <w:r w:rsidRPr="00494D8C">
        <w:rPr>
          <w:i/>
        </w:rPr>
        <w:t>, JPMorgan Chase &amp; Co. or JPMorgan Chase Bank, N.A.—Taxation of Non-U.S. Holders—U.S. Withholding on Dividend Equivalent Payments</w:t>
      </w:r>
      <w:r w:rsidRPr="00494D8C">
        <w:t>", and "</w:t>
      </w:r>
      <w:r w:rsidRPr="00494D8C">
        <w:rPr>
          <w:i/>
        </w:rPr>
        <w:t xml:space="preserve">Taxation of Securities issued by </w:t>
      </w:r>
      <w:proofErr w:type="spellStart"/>
      <w:r w:rsidRPr="00494D8C">
        <w:rPr>
          <w:i/>
        </w:rPr>
        <w:t>JPMCFC</w:t>
      </w:r>
      <w:proofErr w:type="spellEnd"/>
      <w:r w:rsidRPr="00494D8C">
        <w:rPr>
          <w:i/>
        </w:rPr>
        <w:t>, JPMorgan Chase &amp; Co. or JPMorgan Chase Bank, N.A.—Taxation of Non-U.S. Holders—U.S. Foreign Investment in Real Property Tax Act</w:t>
      </w:r>
      <w:r w:rsidRPr="00494D8C">
        <w:t>", gain realised on the sale, retirement or other taxable disposition of a Security by a Non-U.S. Holder generally will not be subject to U.S. federal income tax unless (i) such income is effectively connected with a trade or business conducted by the Non-U.S. Holder in the United States, or (ii) the Non-U.S. Holder has or had a current or former relationship with the United States, including a relationship as a citizen or resident thereof or based on an individual's presence in the United States for 183 days or more in the taxable year of the sale or maturity of the Securities. In the case of (i) above, a Non-U.S. Holder generally would be subject to U.S. federal income tax with respect to any income or gain in the same manner as if the Non-U.S</w:t>
      </w:r>
      <w:r w:rsidR="00973444" w:rsidRPr="00494D8C">
        <w:t>.</w:t>
      </w:r>
      <w:r w:rsidRPr="00494D8C">
        <w:t xml:space="preserve"> Holder were a U.S. Holder and, in the case of a Non-U.S. Holder that is a corporation, the Non-U.S. Holder may also be subject to a branch profits tax equal to 30% (or such lower rate provided by an applicable U.S. income tax treaty) of a portion of its earnings and profits for the taxable year that are effectively connected with its conduct of a trade or business in the United States, subject to certain adjustments.</w:t>
      </w:r>
    </w:p>
    <w:p w14:paraId="2FE15DD1" w14:textId="77777777" w:rsidR="009527F8" w:rsidRPr="00494D8C" w:rsidRDefault="009527F8" w:rsidP="006770F0">
      <w:pPr>
        <w:pStyle w:val="NormalOCAshurst"/>
        <w:keepNext/>
        <w:ind w:left="567"/>
        <w:rPr>
          <w:b/>
          <w:i/>
        </w:rPr>
      </w:pPr>
      <w:r w:rsidRPr="00494D8C">
        <w:rPr>
          <w:b/>
          <w:i/>
        </w:rPr>
        <w:lastRenderedPageBreak/>
        <w:t>U.S. Information Reporting and Backup Withholding</w:t>
      </w:r>
    </w:p>
    <w:p w14:paraId="73D8E507" w14:textId="77777777" w:rsidR="009527F8" w:rsidRPr="00494D8C" w:rsidRDefault="009527F8" w:rsidP="006770F0">
      <w:pPr>
        <w:pStyle w:val="NormalOCAshurst"/>
        <w:ind w:left="567"/>
      </w:pPr>
      <w:r w:rsidRPr="00494D8C">
        <w:t>In the case of a Security that is treated as debt and in registered form for U.S. federal income tax purposes, payments of principal, OID, and interest made by a non-U.S. payor (other than a U.S. Controlled Person) outside the United States to a Non-U.S. Holder will not be subject to information reporting or backup withholding. Payments on such Securities made within the United States or by a U.S. Controlled Person may be subject to information reporting and backup withholding.</w:t>
      </w:r>
    </w:p>
    <w:p w14:paraId="62D73008" w14:textId="77777777" w:rsidR="009527F8" w:rsidRPr="00494D8C" w:rsidRDefault="009527F8" w:rsidP="006770F0">
      <w:pPr>
        <w:pStyle w:val="NormalOCAshurst"/>
        <w:ind w:left="567"/>
      </w:pPr>
      <w:r w:rsidRPr="00494D8C">
        <w:t xml:space="preserve">Payments on the sale, retirement or other taxable disposition of a Security made to a Non-U.S. Holder by a non-U.S. broker (other than a U.S. Controlled Person) generally will not be subject to information reporting or backup withholding. However, if the broker is a U.S. Controlled Person, payments on the sale, exchange or other disposition of such a security made by such U.S. Controlled Person may be subject to information reporting unless the beneficial owner has furnished the broker with documentation upon which the broker can rely to treat the payment </w:t>
      </w:r>
      <w:proofErr w:type="spellStart"/>
      <w:r w:rsidRPr="00494D8C">
        <w:t>as</w:t>
      </w:r>
      <w:proofErr w:type="spellEnd"/>
      <w:r w:rsidRPr="00494D8C">
        <w:t xml:space="preserve"> made to a beneficial owner that is a foreign person.</w:t>
      </w:r>
    </w:p>
    <w:p w14:paraId="745A91B9" w14:textId="77777777" w:rsidR="009527F8" w:rsidRPr="00494D8C" w:rsidRDefault="009527F8" w:rsidP="006770F0">
      <w:pPr>
        <w:pStyle w:val="NormalOCAshurst"/>
        <w:ind w:left="567"/>
      </w:pPr>
      <w:r w:rsidRPr="00494D8C">
        <w:t>For purposes of this discussion, a "</w:t>
      </w:r>
      <w:r w:rsidRPr="00494D8C">
        <w:rPr>
          <w:b/>
        </w:rPr>
        <w:t>U.S. Controlled Person</w:t>
      </w:r>
      <w:r w:rsidRPr="00494D8C">
        <w:fldChar w:fldCharType="begin"/>
      </w:r>
      <w:r w:rsidRPr="00494D8C">
        <w:instrText xml:space="preserve"> XE "U.S. Controlled Person" </w:instrText>
      </w:r>
      <w:r w:rsidRPr="00494D8C">
        <w:fldChar w:fldCharType="end"/>
      </w:r>
      <w:r w:rsidRPr="00494D8C">
        <w:t>" means (i) a U.S. person (as defined in the Code, and for this purpose includes a foreign branch or office of such person), (ii) a controlled foreign corporation for U.S. federal income tax purposes, (iii) a foreign person 50 per cent. or more of whose gross income was effectively connected with the conduct of a United States trade or business for a specified three-year period, (iv) a foreign partnership, if at any time during its tax year, one or more of its partners are U.S. persons who, in the aggregate, hold more than 50 per cent. of the partnership's income or capital interest or if, at any time during its tax year, it is engaged in the conduct of a trade or business in the United States, or (v) a U.S. branch of a foreign bank or a foreign insurance company.</w:t>
      </w:r>
    </w:p>
    <w:p w14:paraId="519558D9" w14:textId="77777777" w:rsidR="009527F8" w:rsidRPr="00494D8C" w:rsidRDefault="009527F8" w:rsidP="006770F0">
      <w:pPr>
        <w:pStyle w:val="NormalOCAshurst"/>
        <w:ind w:left="567"/>
      </w:pPr>
      <w:r w:rsidRPr="00494D8C">
        <w:t>Any amounts withheld under the backup withholding rules may be allowed as a credit against the Non-U.S. Holder's U.S. federal income tax liability, and may entitle the Non-U.S. Holder to a refund, provided that the required information is furnished to the IRS.</w:t>
      </w:r>
    </w:p>
    <w:p w14:paraId="697E535F" w14:textId="77777777" w:rsidR="009527F8" w:rsidRPr="00494D8C" w:rsidRDefault="009527F8" w:rsidP="006770F0">
      <w:pPr>
        <w:pStyle w:val="NormalOCAshurst"/>
        <w:ind w:left="567"/>
        <w:rPr>
          <w:b/>
          <w:bCs/>
        </w:rPr>
      </w:pPr>
      <w:r w:rsidRPr="00494D8C">
        <w:rPr>
          <w:b/>
          <w:bCs/>
        </w:rPr>
        <w:t>U.S. Estate Tax Considerations for Non-U.S. Holders</w:t>
      </w:r>
    </w:p>
    <w:p w14:paraId="2E515BD9" w14:textId="77777777" w:rsidR="009527F8" w:rsidRPr="00494D8C" w:rsidRDefault="009527F8" w:rsidP="006770F0">
      <w:pPr>
        <w:pStyle w:val="NormalOCAshurst"/>
        <w:ind w:left="567"/>
      </w:pPr>
      <w:r w:rsidRPr="00494D8C">
        <w:t>Generally, absent an applicable treaty benefit, a Security may be treated as U.S. situs property subject to U.S. federal estate tax. Non-U.S. Holders should consult their own tax advisors regarding the U.S. federal estate tax consequences of investing in the Securities.</w:t>
      </w:r>
    </w:p>
    <w:p w14:paraId="023D62BC" w14:textId="77777777" w:rsidR="009527F8" w:rsidRPr="00494D8C" w:rsidRDefault="009527F8" w:rsidP="006770F0">
      <w:pPr>
        <w:pStyle w:val="NormalOCAshurst"/>
        <w:ind w:left="567"/>
        <w:rPr>
          <w:b/>
        </w:rPr>
      </w:pPr>
      <w:r w:rsidRPr="00494D8C">
        <w:rPr>
          <w:b/>
        </w:rPr>
        <w:t xml:space="preserve">FATCA </w:t>
      </w:r>
    </w:p>
    <w:p w14:paraId="0801840B" w14:textId="77777777" w:rsidR="009527F8" w:rsidRPr="00494D8C" w:rsidRDefault="009527F8" w:rsidP="006770F0">
      <w:pPr>
        <w:pStyle w:val="NormalOCAshurst"/>
        <w:ind w:left="567"/>
        <w:rPr>
          <w:b/>
          <w:i/>
        </w:rPr>
      </w:pPr>
      <w:r w:rsidRPr="00494D8C">
        <w:rPr>
          <w:b/>
          <w:i/>
        </w:rPr>
        <w:t>General</w:t>
      </w:r>
    </w:p>
    <w:p w14:paraId="3D3340E3" w14:textId="77777777" w:rsidR="009527F8" w:rsidRPr="00494D8C" w:rsidRDefault="009527F8" w:rsidP="006770F0">
      <w:pPr>
        <w:pStyle w:val="NormalOCAshurst"/>
        <w:ind w:left="567"/>
      </w:pPr>
      <w:r w:rsidRPr="00494D8C">
        <w:t>Under FATCA, the Issuers may be required to deduct a withholding tax of 30 per cent. on payments made to certain Holders or beneficial owners in respect of the Securities. Subject to certain exceptions, the withholding tax may apply on payments to (i) a Holder or beneficial owner that is a foreign financial institution (an "</w:t>
      </w:r>
      <w:proofErr w:type="spellStart"/>
      <w:r w:rsidRPr="00494D8C">
        <w:rPr>
          <w:b/>
          <w:bCs/>
        </w:rPr>
        <w:t>FFI</w:t>
      </w:r>
      <w:proofErr w:type="spellEnd"/>
      <w:r w:rsidRPr="00494D8C">
        <w:fldChar w:fldCharType="begin"/>
      </w:r>
      <w:r w:rsidRPr="00494D8C">
        <w:instrText xml:space="preserve"> XE "</w:instrText>
      </w:r>
      <w:proofErr w:type="spellStart"/>
      <w:r w:rsidRPr="00494D8C">
        <w:instrText>FFI</w:instrText>
      </w:r>
      <w:proofErr w:type="spellEnd"/>
      <w:r w:rsidRPr="00494D8C">
        <w:instrText xml:space="preserve">" </w:instrText>
      </w:r>
      <w:r w:rsidRPr="00494D8C">
        <w:fldChar w:fldCharType="end"/>
      </w:r>
      <w:r w:rsidRPr="00494D8C">
        <w:t>") (as defined under FATCA) that is not in compliance with applicable reporting and withholding obligations (such a Holder or beneficial owner, a "</w:t>
      </w:r>
      <w:r w:rsidRPr="00494D8C">
        <w:rPr>
          <w:b/>
          <w:bCs/>
        </w:rPr>
        <w:t xml:space="preserve">Non-Participating </w:t>
      </w:r>
      <w:proofErr w:type="spellStart"/>
      <w:r w:rsidRPr="00494D8C">
        <w:rPr>
          <w:b/>
          <w:bCs/>
        </w:rPr>
        <w:t>FFI</w:t>
      </w:r>
      <w:proofErr w:type="spellEnd"/>
      <w:r w:rsidRPr="00494D8C">
        <w:fldChar w:fldCharType="begin"/>
      </w:r>
      <w:r w:rsidRPr="00494D8C">
        <w:instrText xml:space="preserve"> XE "Non-Participating </w:instrText>
      </w:r>
      <w:proofErr w:type="spellStart"/>
      <w:r w:rsidRPr="00494D8C">
        <w:instrText>FFI</w:instrText>
      </w:r>
      <w:proofErr w:type="spellEnd"/>
      <w:r w:rsidRPr="00494D8C">
        <w:instrText xml:space="preserve">" </w:instrText>
      </w:r>
      <w:r w:rsidRPr="00494D8C">
        <w:fldChar w:fldCharType="end"/>
      </w:r>
      <w:r w:rsidRPr="00494D8C">
        <w:t>") and (ii) any other Holder or beneficial owner that does not comply with the Issuer's or an intermediary's requests for ownership certifications and identifying information (such a Holder or beneficial owner, a "</w:t>
      </w:r>
      <w:r w:rsidRPr="00494D8C">
        <w:rPr>
          <w:b/>
          <w:bCs/>
        </w:rPr>
        <w:t>Recalcitrant Holder</w:t>
      </w:r>
      <w:r w:rsidRPr="00494D8C">
        <w:fldChar w:fldCharType="begin"/>
      </w:r>
      <w:r w:rsidRPr="00494D8C">
        <w:instrText xml:space="preserve"> XE "Recalcitrant Holder" </w:instrText>
      </w:r>
      <w:r w:rsidRPr="00494D8C">
        <w:fldChar w:fldCharType="end"/>
      </w:r>
      <w:r w:rsidRPr="00494D8C">
        <w:t>").</w:t>
      </w:r>
    </w:p>
    <w:p w14:paraId="724D1959" w14:textId="77777777" w:rsidR="009527F8" w:rsidRPr="00494D8C" w:rsidRDefault="009527F8" w:rsidP="006770F0">
      <w:pPr>
        <w:pStyle w:val="NormalOCAshurst"/>
        <w:ind w:left="567"/>
      </w:pPr>
      <w:proofErr w:type="spellStart"/>
      <w:r w:rsidRPr="00494D8C">
        <w:t>JPMSP</w:t>
      </w:r>
      <w:proofErr w:type="spellEnd"/>
      <w:r w:rsidRPr="00494D8C">
        <w:t xml:space="preserve"> may also be subject to withholding if it does not comply with the relevant requirements under FATCA. In the event </w:t>
      </w:r>
      <w:proofErr w:type="spellStart"/>
      <w:r w:rsidRPr="00494D8C">
        <w:t>JPMSP</w:t>
      </w:r>
      <w:proofErr w:type="spellEnd"/>
      <w:r w:rsidRPr="00494D8C">
        <w:t xml:space="preserve"> determines that there is a substantial likelihood that payments made to it would be subject to withholding tax under FATCA or if it otherwise determines that there is a substantial likelihood that it will violate any requirement of, or an agreement entered into with a taxing authority with respect to, FATCA, it is possible that a portion or all Securities of a series issued by </w:t>
      </w:r>
      <w:proofErr w:type="spellStart"/>
      <w:r w:rsidRPr="00494D8C">
        <w:t>JPMSP</w:t>
      </w:r>
      <w:proofErr w:type="spellEnd"/>
      <w:r w:rsidRPr="00494D8C">
        <w:t xml:space="preserve"> will be redeemed or terminated at the Early Payment Amount.</w:t>
      </w:r>
    </w:p>
    <w:p w14:paraId="12D25489" w14:textId="77777777" w:rsidR="009527F8" w:rsidRPr="00494D8C" w:rsidRDefault="009527F8" w:rsidP="006770F0">
      <w:pPr>
        <w:pStyle w:val="NormalOCAshurst"/>
        <w:ind w:left="567"/>
      </w:pPr>
      <w:r w:rsidRPr="00494D8C">
        <w:t>Withholding and/or termination under FATCA may also apply to payments made under the relevant Guarantee.</w:t>
      </w:r>
    </w:p>
    <w:p w14:paraId="2A01C025" w14:textId="77777777" w:rsidR="009527F8" w:rsidRPr="00494D8C" w:rsidRDefault="009527F8" w:rsidP="006770F0">
      <w:pPr>
        <w:pStyle w:val="NormalOCAshurst"/>
        <w:ind w:left="567"/>
        <w:rPr>
          <w:b/>
          <w:i/>
        </w:rPr>
      </w:pPr>
      <w:r w:rsidRPr="00494D8C">
        <w:rPr>
          <w:b/>
          <w:i/>
        </w:rPr>
        <w:t>Reporting, Withholding and Potential Redemptions Under FATCA</w:t>
      </w:r>
    </w:p>
    <w:p w14:paraId="20352402" w14:textId="77777777" w:rsidR="009527F8" w:rsidRPr="00494D8C" w:rsidRDefault="009527F8" w:rsidP="006770F0">
      <w:pPr>
        <w:pStyle w:val="NormalOCAshurst"/>
        <w:ind w:left="567"/>
      </w:pPr>
      <w:r w:rsidRPr="00494D8C">
        <w:t xml:space="preserve">Under FATCA, certain payments on U.S. assets and certain payments on non-U.S. assets made to non-U.S. persons may be subject to a 30 per cent. withholding tax. Withholding generally applies to payments </w:t>
      </w:r>
      <w:r w:rsidRPr="00494D8C">
        <w:lastRenderedPageBreak/>
        <w:t xml:space="preserve">of U.S. source interest, dividends (including payments treated as "dividend equivalents" under section 871(m) of the Code) and other passive income. Withholding on "foreign </w:t>
      </w:r>
      <w:proofErr w:type="spellStart"/>
      <w:r w:rsidRPr="00494D8C">
        <w:t>passthru</w:t>
      </w:r>
      <w:proofErr w:type="spellEnd"/>
      <w:r w:rsidRPr="00494D8C">
        <w:t xml:space="preserve"> payments" will apply no earlier than two years after the date on which final U.S. Treasury regulations defining foreign </w:t>
      </w:r>
      <w:proofErr w:type="spellStart"/>
      <w:r w:rsidRPr="00494D8C">
        <w:t>passthru</w:t>
      </w:r>
      <w:proofErr w:type="spellEnd"/>
      <w:r w:rsidRPr="00494D8C">
        <w:t xml:space="preserve"> payments are published. Withholding, however, will not apply to payments on certain non-U.S. obligations that are outstanding as of the date that is six months after the date on which final U.S. Treasury regulations addressing "foreign </w:t>
      </w:r>
      <w:proofErr w:type="spellStart"/>
      <w:r w:rsidRPr="00494D8C">
        <w:t>passthru</w:t>
      </w:r>
      <w:proofErr w:type="spellEnd"/>
      <w:r w:rsidRPr="00494D8C">
        <w:t xml:space="preserve"> payments" are issued so long as such obligations are not treated as reissued after the relevant date (such obligations, "</w:t>
      </w:r>
      <w:r w:rsidRPr="00494D8C">
        <w:rPr>
          <w:b/>
        </w:rPr>
        <w:t>Grandfathered Obligations</w:t>
      </w:r>
      <w:r w:rsidRPr="00494D8C">
        <w:rPr>
          <w:b/>
        </w:rPr>
        <w:fldChar w:fldCharType="begin"/>
      </w:r>
      <w:r w:rsidRPr="00494D8C">
        <w:instrText xml:space="preserve"> XE "Grandfathered Obligations" </w:instrText>
      </w:r>
      <w:r w:rsidRPr="00494D8C">
        <w:rPr>
          <w:b/>
        </w:rPr>
        <w:fldChar w:fldCharType="end"/>
      </w:r>
      <w:r w:rsidRPr="00494D8C">
        <w:t>").</w:t>
      </w:r>
    </w:p>
    <w:p w14:paraId="31B32F07" w14:textId="77777777" w:rsidR="009527F8" w:rsidRPr="00494D8C" w:rsidRDefault="009527F8" w:rsidP="006770F0">
      <w:pPr>
        <w:pStyle w:val="NormalOCAshurst"/>
        <w:ind w:left="567"/>
      </w:pPr>
      <w:r w:rsidRPr="00494D8C">
        <w:t xml:space="preserve">Investors should be aware that the effective date for withholding on "foreign </w:t>
      </w:r>
      <w:proofErr w:type="spellStart"/>
      <w:r w:rsidRPr="00494D8C">
        <w:t>passthru</w:t>
      </w:r>
      <w:proofErr w:type="spellEnd"/>
      <w:r w:rsidRPr="00494D8C">
        <w:t xml:space="preserve"> payments" above reflects proposed U.S. Treasury regulations ("</w:t>
      </w:r>
      <w:r w:rsidRPr="00494D8C">
        <w:rPr>
          <w:b/>
        </w:rPr>
        <w:t>Proposed FATCA Regulations</w:t>
      </w:r>
      <w:r w:rsidRPr="00494D8C">
        <w:fldChar w:fldCharType="begin"/>
      </w:r>
      <w:r w:rsidRPr="00494D8C">
        <w:instrText xml:space="preserve"> XE "Proposed FATCA Regulations" </w:instrText>
      </w:r>
      <w:r w:rsidRPr="00494D8C">
        <w:fldChar w:fldCharType="end"/>
      </w:r>
      <w:r w:rsidRPr="00494D8C">
        <w:t xml:space="preserve">") which delay the effective date for withholding on foreign </w:t>
      </w:r>
      <w:proofErr w:type="spellStart"/>
      <w:r w:rsidRPr="00494D8C">
        <w:t>passthru</w:t>
      </w:r>
      <w:proofErr w:type="spellEnd"/>
      <w:r w:rsidRPr="00494D8C">
        <w:t xml:space="preserve"> payments. The Proposed FATCA Regulations also eliminate FATCA withholding on gross proceeds from, or final payments, redemptions, or other principal payments made in respect of, the disposition of an instrument that may produce U.S. source interest or dividends ("</w:t>
      </w:r>
      <w:r w:rsidRPr="00494D8C">
        <w:rPr>
          <w:b/>
        </w:rPr>
        <w:t>U.S. Gross Proceeds</w:t>
      </w:r>
      <w:r w:rsidRPr="00494D8C">
        <w:fldChar w:fldCharType="begin"/>
      </w:r>
      <w:r w:rsidRPr="00494D8C">
        <w:instrText xml:space="preserve"> XE "U.S. Gross Proceeds" </w:instrText>
      </w:r>
      <w:r w:rsidRPr="00494D8C">
        <w:fldChar w:fldCharType="end"/>
      </w:r>
      <w:r w:rsidRPr="00494D8C">
        <w:t>"). The U.S. Treasury have indicated that taxpayers may rely on the Proposed FATCA Regulations until final regulations are issued. The discussion above assumes that the Proposed FATCA Regulations will be finalised in their current form and that such final regulations will be effective retroactively. No assurance can be given that the Proposed FATCA Regulations will be finalised in their current form or that any such final regulations will be effective retroactively.</w:t>
      </w:r>
    </w:p>
    <w:p w14:paraId="421FF244" w14:textId="77777777" w:rsidR="009527F8" w:rsidRPr="00494D8C" w:rsidRDefault="009527F8" w:rsidP="006770F0">
      <w:pPr>
        <w:pStyle w:val="NormalOCAshurst"/>
        <w:ind w:left="567"/>
      </w:pPr>
      <w:r w:rsidRPr="00494D8C">
        <w:t>The Netherlands and the United States have signed an intergovernmental agreement ("</w:t>
      </w:r>
      <w:r w:rsidRPr="00494D8C">
        <w:rPr>
          <w:b/>
        </w:rPr>
        <w:t>IGA</w:t>
      </w:r>
      <w:r w:rsidRPr="00494D8C">
        <w:rPr>
          <w:b/>
        </w:rPr>
        <w:fldChar w:fldCharType="begin"/>
      </w:r>
      <w:r w:rsidRPr="00494D8C">
        <w:instrText xml:space="preserve"> XE "IGA" </w:instrText>
      </w:r>
      <w:r w:rsidRPr="00494D8C">
        <w:rPr>
          <w:b/>
        </w:rPr>
        <w:fldChar w:fldCharType="end"/>
      </w:r>
      <w:r w:rsidRPr="00494D8C">
        <w:t xml:space="preserve">") for the automatic exchange of data between the tax authorities of both countries in relation to the implementation of FATCA. Pursuant to the IGA, </w:t>
      </w:r>
      <w:proofErr w:type="spellStart"/>
      <w:r w:rsidRPr="00494D8C">
        <w:t>JPMSP</w:t>
      </w:r>
      <w:proofErr w:type="spellEnd"/>
      <w:r w:rsidRPr="00494D8C">
        <w:t xml:space="preserve"> has registered with the IRS to be treated as a deemed compliant </w:t>
      </w:r>
      <w:proofErr w:type="spellStart"/>
      <w:r w:rsidRPr="00494D8C">
        <w:t>FFI</w:t>
      </w:r>
      <w:proofErr w:type="spellEnd"/>
      <w:r w:rsidRPr="00494D8C">
        <w:t xml:space="preserve"> for FATCA purposes. As a registered deemed compliant </w:t>
      </w:r>
      <w:proofErr w:type="spellStart"/>
      <w:r w:rsidRPr="00494D8C">
        <w:t>FFI</w:t>
      </w:r>
      <w:proofErr w:type="spellEnd"/>
      <w:r w:rsidRPr="00494D8C">
        <w:t xml:space="preserve">, </w:t>
      </w:r>
      <w:proofErr w:type="spellStart"/>
      <w:r w:rsidRPr="00494D8C">
        <w:t>JPMSP</w:t>
      </w:r>
      <w:proofErr w:type="spellEnd"/>
      <w:r w:rsidRPr="00494D8C">
        <w:t xml:space="preserve"> should not be subject to the 30 per cent. FATCA withholding tax, provided that it is not designated as a "nonparticipating </w:t>
      </w:r>
      <w:proofErr w:type="spellStart"/>
      <w:r w:rsidRPr="00494D8C">
        <w:t>FFI</w:t>
      </w:r>
      <w:proofErr w:type="spellEnd"/>
      <w:r w:rsidRPr="00494D8C">
        <w:t xml:space="preserve">" for FATCA purposes. The obligations of </w:t>
      </w:r>
      <w:proofErr w:type="spellStart"/>
      <w:r w:rsidRPr="00494D8C">
        <w:t>JPMSP</w:t>
      </w:r>
      <w:proofErr w:type="spellEnd"/>
      <w:r w:rsidRPr="00494D8C">
        <w:t xml:space="preserve"> under the IGA and its implementation in Dutch legislation include obtaining information from the Holders and/or beneficial owners of Securities and may include withholding on payments to Holders and/or beneficial owners of Securities that are not compliant with any applicable requirements under FATCA.</w:t>
      </w:r>
    </w:p>
    <w:p w14:paraId="5E9DE28F" w14:textId="77777777" w:rsidR="009527F8" w:rsidRPr="00494D8C" w:rsidRDefault="009527F8" w:rsidP="006770F0">
      <w:pPr>
        <w:pStyle w:val="NormalOCAshurst"/>
        <w:ind w:left="567"/>
      </w:pPr>
      <w:r w:rsidRPr="00494D8C">
        <w:t>To the extent any payments in respect of Securities are made to a beneficial owner by an intermediary financial institution, broker or agent (each, an "</w:t>
      </w:r>
      <w:r w:rsidRPr="00494D8C">
        <w:rPr>
          <w:b/>
        </w:rPr>
        <w:t>Intermediary</w:t>
      </w:r>
      <w:r w:rsidRPr="00494D8C">
        <w:rPr>
          <w:b/>
        </w:rPr>
        <w:fldChar w:fldCharType="begin"/>
      </w:r>
      <w:r w:rsidRPr="00494D8C">
        <w:instrText xml:space="preserve"> XE "Intermediary" </w:instrText>
      </w:r>
      <w:r w:rsidRPr="00494D8C">
        <w:rPr>
          <w:b/>
        </w:rPr>
        <w:fldChar w:fldCharType="end"/>
      </w:r>
      <w:r w:rsidRPr="00494D8C">
        <w:t>"), such beneficial owner will be required to comply with the Intermediary's requests for identifying information that would permit the Intermediary to comply with its own FATCA obligations.</w:t>
      </w:r>
    </w:p>
    <w:p w14:paraId="6A096934" w14:textId="6980A4FE" w:rsidR="009527F8" w:rsidRPr="00494D8C" w:rsidRDefault="009527F8" w:rsidP="006770F0">
      <w:pPr>
        <w:pStyle w:val="NormalOCAshurst"/>
        <w:ind w:left="567"/>
      </w:pPr>
      <w:r w:rsidRPr="00494D8C">
        <w:t xml:space="preserve">Any Holder or beneficial owner of Securities that is a Recalcitrant Holder or a Non-Participating </w:t>
      </w:r>
      <w:proofErr w:type="spellStart"/>
      <w:r w:rsidRPr="00494D8C">
        <w:t>FFI</w:t>
      </w:r>
      <w:proofErr w:type="spellEnd"/>
      <w:r w:rsidRPr="00494D8C">
        <w:t xml:space="preserve"> may be subject to a 30 per cent. withholding tax with respect to payments on the Securities. Holders and beneficial owners should also be aware that it may be necessary for </w:t>
      </w:r>
      <w:proofErr w:type="spellStart"/>
      <w:r w:rsidRPr="00494D8C">
        <w:t>JPMSP</w:t>
      </w:r>
      <w:proofErr w:type="spellEnd"/>
      <w:r w:rsidRPr="00494D8C">
        <w:t xml:space="preserve"> to redeem Recalcitrant Holders or Non-Participating </w:t>
      </w:r>
      <w:proofErr w:type="spellStart"/>
      <w:r w:rsidRPr="00494D8C">
        <w:t>FFIs</w:t>
      </w:r>
      <w:proofErr w:type="spellEnd"/>
      <w:r w:rsidRPr="00494D8C">
        <w:t xml:space="preserve"> if such a Holder's or beneficial owner's non-compliance may cause the Issuer to be subject to withholding or if the Issuer otherwise determines that there is a substantial likelihood that it will violate any requirement of, or an agreement entered into with a taxing authority with respect to, FATCA, as described in General Condition</w:t>
      </w:r>
      <w:r w:rsidR="006770F0" w:rsidRPr="00494D8C">
        <w:t xml:space="preserve"> 18.3</w:t>
      </w:r>
      <w:r w:rsidRPr="00494D8C">
        <w:t xml:space="preserve"> (</w:t>
      </w:r>
      <w:r w:rsidRPr="00494D8C">
        <w:rPr>
          <w:i/>
        </w:rPr>
        <w:t>Early Redemption or Termination for Taxation – FATCA</w:t>
      </w:r>
      <w:r w:rsidRPr="00494D8C">
        <w:t xml:space="preserve">). Any redemption will be at the Early Payment Amount. In addition, compliant Holders and beneficial owners may also be subject to the redemption of their Securities in such an event, as set out in General Condition </w:t>
      </w:r>
      <w:r w:rsidR="006770F0" w:rsidRPr="00494D8C">
        <w:t>18.3</w:t>
      </w:r>
      <w:r w:rsidRPr="00494D8C">
        <w:t xml:space="preserve"> (</w:t>
      </w:r>
      <w:r w:rsidRPr="00494D8C">
        <w:rPr>
          <w:i/>
        </w:rPr>
        <w:t>Early Redemption or Termination for Taxation - FATCA</w:t>
      </w:r>
      <w:r w:rsidRPr="00494D8C">
        <w:t>).</w:t>
      </w:r>
    </w:p>
    <w:p w14:paraId="0615E741" w14:textId="77777777" w:rsidR="009527F8" w:rsidRPr="00494D8C" w:rsidRDefault="009527F8" w:rsidP="006770F0">
      <w:pPr>
        <w:pStyle w:val="NormalOCAshurst"/>
        <w:ind w:left="567"/>
        <w:rPr>
          <w:b/>
          <w:bCs/>
          <w:i/>
          <w:iCs/>
        </w:rPr>
      </w:pPr>
      <w:r w:rsidRPr="00494D8C">
        <w:rPr>
          <w:b/>
          <w:bCs/>
          <w:i/>
          <w:iCs/>
        </w:rPr>
        <w:t>Uncertain Application</w:t>
      </w:r>
    </w:p>
    <w:p w14:paraId="115569A7" w14:textId="0F59D81F" w:rsidR="009527F8" w:rsidRPr="00494D8C" w:rsidRDefault="009527F8" w:rsidP="006770F0">
      <w:pPr>
        <w:pStyle w:val="NormalOCAshurst"/>
        <w:ind w:left="567"/>
      </w:pPr>
      <w:r w:rsidRPr="00494D8C">
        <w:t xml:space="preserve">No assurance can be given that the Issuers will be able to take all necessary actions or that actions taken will be successful in minimising the impact of FATCA on the Holders or the Issuers. </w:t>
      </w:r>
      <w:r w:rsidRPr="00494D8C">
        <w:rPr>
          <w:i/>
        </w:rPr>
        <w:t>Each potential investor in Securities should consult its own tax advisor to determine how FATCA may affect an investment in the Securities in such investor's particular circumstance.</w:t>
      </w:r>
      <w:r w:rsidRPr="00494D8C">
        <w:rPr>
          <w:iCs/>
        </w:rPr>
        <w:t>"</w:t>
      </w:r>
    </w:p>
    <w:p w14:paraId="5E514B1F" w14:textId="5030CCD9" w:rsidR="006D2FD3" w:rsidRPr="00494D8C" w:rsidRDefault="006D2FD3" w:rsidP="006D2FD3">
      <w:pPr>
        <w:pStyle w:val="NormalOCAshurst"/>
        <w:ind w:left="567" w:hanging="567"/>
        <w:rPr>
          <w:b/>
        </w:rPr>
      </w:pPr>
      <w:r w:rsidRPr="00494D8C">
        <w:rPr>
          <w:b/>
        </w:rPr>
        <w:t>(</w:t>
      </w:r>
      <w:r w:rsidR="00902962" w:rsidRPr="00494D8C">
        <w:rPr>
          <w:b/>
        </w:rPr>
        <w:t>h</w:t>
      </w:r>
      <w:r w:rsidRPr="00494D8C">
        <w:rPr>
          <w:b/>
        </w:rPr>
        <w:t>)</w:t>
      </w:r>
      <w:r w:rsidRPr="00494D8C">
        <w:rPr>
          <w:b/>
        </w:rPr>
        <w:tab/>
        <w:t xml:space="preserve">Amendments to the section entitled </w:t>
      </w:r>
      <w:r w:rsidR="00F75940" w:rsidRPr="00494D8C">
        <w:rPr>
          <w:b/>
        </w:rPr>
        <w:t>General Information</w:t>
      </w:r>
    </w:p>
    <w:p w14:paraId="642BF303" w14:textId="1D8D6AA5" w:rsidR="00EC3A36" w:rsidRPr="00494D8C" w:rsidRDefault="00940388" w:rsidP="00EC3A36">
      <w:pPr>
        <w:pStyle w:val="NormalOCAshurst"/>
        <w:ind w:left="567"/>
        <w:rPr>
          <w:bCs/>
        </w:rPr>
      </w:pPr>
      <w:r w:rsidRPr="00494D8C">
        <w:rPr>
          <w:bCs/>
        </w:rPr>
        <w:t>Section 2. (</w:t>
      </w:r>
      <w:proofErr w:type="spellStart"/>
      <w:r w:rsidRPr="00494D8C">
        <w:rPr>
          <w:bCs/>
          <w:i/>
          <w:iCs/>
        </w:rPr>
        <w:t>JPMSP</w:t>
      </w:r>
      <w:proofErr w:type="spellEnd"/>
      <w:r w:rsidRPr="00494D8C">
        <w:rPr>
          <w:bCs/>
        </w:rPr>
        <w:t>) of the section entitled "General Information" on page 774 of the Original Offering Circular shall be deleted and replaced with the following</w:t>
      </w:r>
      <w:r w:rsidR="00EC3A36" w:rsidRPr="00494D8C">
        <w:rPr>
          <w:bCs/>
        </w:rPr>
        <w:t>:</w:t>
      </w:r>
    </w:p>
    <w:p w14:paraId="7E8F0171" w14:textId="77777777" w:rsidR="00940388" w:rsidRPr="00494D8C" w:rsidRDefault="00EC3A36" w:rsidP="00940388">
      <w:pPr>
        <w:pStyle w:val="NormalOCAshurst"/>
        <w:ind w:left="1134" w:hanging="567"/>
        <w:rPr>
          <w:bCs/>
        </w:rPr>
      </w:pPr>
      <w:r w:rsidRPr="00494D8C">
        <w:rPr>
          <w:bCs/>
        </w:rPr>
        <w:t>"</w:t>
      </w:r>
      <w:proofErr w:type="spellStart"/>
      <w:r w:rsidR="00940388" w:rsidRPr="00494D8C">
        <w:rPr>
          <w:b/>
        </w:rPr>
        <w:t>JPMSP</w:t>
      </w:r>
      <w:proofErr w:type="spellEnd"/>
    </w:p>
    <w:p w14:paraId="0060CFD8" w14:textId="77777777" w:rsidR="00940388" w:rsidRPr="00494D8C" w:rsidRDefault="00940388" w:rsidP="00940388">
      <w:pPr>
        <w:pStyle w:val="NormalOCAshurst"/>
        <w:ind w:left="567"/>
        <w:rPr>
          <w:bCs/>
          <w:i/>
          <w:iCs/>
        </w:rPr>
      </w:pPr>
      <w:r w:rsidRPr="00494D8C">
        <w:rPr>
          <w:bCs/>
          <w:i/>
          <w:iCs/>
        </w:rPr>
        <w:t>Authorisations</w:t>
      </w:r>
    </w:p>
    <w:p w14:paraId="1D124DF0" w14:textId="77777777" w:rsidR="00940388" w:rsidRPr="00494D8C" w:rsidRDefault="00940388" w:rsidP="00940388">
      <w:pPr>
        <w:pStyle w:val="NormalOCAshurst"/>
        <w:ind w:left="567"/>
        <w:rPr>
          <w:bCs/>
        </w:rPr>
      </w:pPr>
      <w:r w:rsidRPr="00494D8C">
        <w:rPr>
          <w:bCs/>
        </w:rPr>
        <w:lastRenderedPageBreak/>
        <w:t xml:space="preserve">Accession to the Programme by </w:t>
      </w:r>
      <w:proofErr w:type="spellStart"/>
      <w:r w:rsidRPr="00494D8C">
        <w:rPr>
          <w:bCs/>
        </w:rPr>
        <w:t>JPMSP</w:t>
      </w:r>
      <w:proofErr w:type="spellEnd"/>
      <w:r w:rsidRPr="00494D8C">
        <w:rPr>
          <w:bCs/>
        </w:rPr>
        <w:t xml:space="preserve"> was authorised by a resolution of the Board of Directors of </w:t>
      </w:r>
      <w:proofErr w:type="spellStart"/>
      <w:r w:rsidRPr="00494D8C">
        <w:rPr>
          <w:bCs/>
        </w:rPr>
        <w:t>JPMSP</w:t>
      </w:r>
      <w:proofErr w:type="spellEnd"/>
      <w:r w:rsidRPr="00494D8C">
        <w:rPr>
          <w:bCs/>
        </w:rPr>
        <w:t xml:space="preserve"> dated 16 May 2007 and the update of the Programme was authorised by a resolution of the Board of Directors dated 6 April 2023. Issuances of Securities by </w:t>
      </w:r>
      <w:proofErr w:type="spellStart"/>
      <w:r w:rsidRPr="00494D8C">
        <w:rPr>
          <w:bCs/>
        </w:rPr>
        <w:t>JPMSP</w:t>
      </w:r>
      <w:proofErr w:type="spellEnd"/>
      <w:r w:rsidRPr="00494D8C">
        <w:rPr>
          <w:bCs/>
        </w:rPr>
        <w:t xml:space="preserve"> were authorised by a meeting of the Board of Directors of </w:t>
      </w:r>
      <w:proofErr w:type="spellStart"/>
      <w:r w:rsidRPr="00494D8C">
        <w:rPr>
          <w:bCs/>
        </w:rPr>
        <w:t>JPMSP</w:t>
      </w:r>
      <w:proofErr w:type="spellEnd"/>
      <w:r w:rsidRPr="00494D8C">
        <w:rPr>
          <w:bCs/>
        </w:rPr>
        <w:t xml:space="preserve"> dated 23 April 2008 which has appointed an authorisation committee of the Board of Directors of </w:t>
      </w:r>
      <w:proofErr w:type="spellStart"/>
      <w:r w:rsidRPr="00494D8C">
        <w:rPr>
          <w:bCs/>
        </w:rPr>
        <w:t>JPMSP</w:t>
      </w:r>
      <w:proofErr w:type="spellEnd"/>
      <w:r w:rsidRPr="00494D8C">
        <w:rPr>
          <w:bCs/>
        </w:rPr>
        <w:t xml:space="preserve"> to authorise issuances of Securities at the time of such issuances.</w:t>
      </w:r>
    </w:p>
    <w:p w14:paraId="6244BA11" w14:textId="77777777" w:rsidR="00940388" w:rsidRPr="00494D8C" w:rsidRDefault="00940388" w:rsidP="00940388">
      <w:pPr>
        <w:pStyle w:val="NormalOCAshurst"/>
        <w:ind w:left="567"/>
        <w:rPr>
          <w:bCs/>
          <w:i/>
          <w:iCs/>
        </w:rPr>
      </w:pPr>
      <w:r w:rsidRPr="00494D8C">
        <w:rPr>
          <w:bCs/>
          <w:i/>
          <w:iCs/>
        </w:rPr>
        <w:t xml:space="preserve">Articles of Association of </w:t>
      </w:r>
      <w:proofErr w:type="spellStart"/>
      <w:r w:rsidRPr="00494D8C">
        <w:rPr>
          <w:bCs/>
          <w:i/>
          <w:iCs/>
        </w:rPr>
        <w:t>JPMSP</w:t>
      </w:r>
      <w:proofErr w:type="spellEnd"/>
    </w:p>
    <w:p w14:paraId="31E96B91" w14:textId="6686BA1D" w:rsidR="0076470E" w:rsidRPr="00494D8C" w:rsidRDefault="00940388" w:rsidP="00931EFD">
      <w:pPr>
        <w:pStyle w:val="NormalOCAshurst"/>
        <w:ind w:left="567"/>
        <w:rPr>
          <w:rFonts w:eastAsia="Microsoft JhengHei"/>
        </w:rPr>
      </w:pPr>
      <w:r w:rsidRPr="00494D8C">
        <w:rPr>
          <w:bCs/>
        </w:rPr>
        <w:t xml:space="preserve">The Articles of Association of </w:t>
      </w:r>
      <w:proofErr w:type="spellStart"/>
      <w:r w:rsidRPr="00494D8C">
        <w:rPr>
          <w:bCs/>
        </w:rPr>
        <w:t>JPMSP</w:t>
      </w:r>
      <w:proofErr w:type="spellEnd"/>
      <w:r w:rsidRPr="00494D8C">
        <w:rPr>
          <w:bCs/>
        </w:rPr>
        <w:t xml:space="preserve"> are dated </w:t>
      </w:r>
      <w:r w:rsidR="008F0ECA" w:rsidRPr="00494D8C">
        <w:rPr>
          <w:bCs/>
        </w:rPr>
        <w:t>20 June 2023</w:t>
      </w:r>
      <w:r w:rsidRPr="00494D8C">
        <w:rPr>
          <w:bCs/>
        </w:rPr>
        <w:t xml:space="preserve"> (as may be further amended, restated, supplemented and/or replaced from time to time)."</w:t>
      </w:r>
    </w:p>
    <w:p w14:paraId="4C14B9D5" w14:textId="77777777" w:rsidR="0076470E" w:rsidRPr="00494D8C" w:rsidRDefault="0076470E" w:rsidP="0076470E">
      <w:pPr>
        <w:pStyle w:val="NormalOCAshurst"/>
        <w:sectPr w:rsidR="0076470E" w:rsidRPr="00494D8C" w:rsidSect="00BC417C">
          <w:headerReference w:type="even" r:id="rId16"/>
          <w:headerReference w:type="default" r:id="rId17"/>
          <w:footerReference w:type="even" r:id="rId18"/>
          <w:footerReference w:type="default" r:id="rId19"/>
          <w:headerReference w:type="first" r:id="rId20"/>
          <w:footerReference w:type="first" r:id="rId21"/>
          <w:type w:val="continuous"/>
          <w:pgSz w:w="11907" w:h="16840" w:code="9"/>
          <w:pgMar w:top="1440" w:right="1440" w:bottom="1440" w:left="1440" w:header="720" w:footer="720" w:gutter="0"/>
          <w:cols w:space="720"/>
          <w:docGrid w:linePitch="245"/>
        </w:sectPr>
      </w:pPr>
    </w:p>
    <w:p w14:paraId="6B73724D" w14:textId="2B163728" w:rsidR="006A0136" w:rsidRPr="00494D8C" w:rsidRDefault="00CF363F" w:rsidP="00BC417C">
      <w:pPr>
        <w:pStyle w:val="NormalOCAshurst"/>
        <w:rPr>
          <w:rFonts w:eastAsia="Microsoft JhengHei"/>
          <w:bCs/>
          <w:iCs/>
        </w:rPr>
      </w:pPr>
      <w:r w:rsidRPr="00494D8C">
        <w:rPr>
          <w:b/>
        </w:rPr>
        <w:lastRenderedPageBreak/>
        <w:t>General</w:t>
      </w:r>
    </w:p>
    <w:p w14:paraId="0B72C243" w14:textId="77777777" w:rsidR="00F13F6A" w:rsidRPr="00494D8C" w:rsidRDefault="00F13F6A" w:rsidP="00F13F6A">
      <w:pPr>
        <w:pStyle w:val="NormalAshurst"/>
        <w:spacing w:line="288" w:lineRule="auto"/>
        <w:rPr>
          <w:rFonts w:ascii="Times New Roman" w:hAnsi="Times New Roman" w:cs="Times New Roman"/>
          <w:sz w:val="20"/>
        </w:rPr>
      </w:pPr>
      <w:r w:rsidRPr="00494D8C">
        <w:rPr>
          <w:rFonts w:ascii="Times New Roman" w:hAnsi="Times New Roman" w:cs="Times New Roman"/>
          <w:sz w:val="20"/>
        </w:rPr>
        <w:t>To the extent that there is any inconsistency between (a) any statement in this Supplement or any statement incorporated by reference into the Offering Circular by this Supplement and (b) any other statement in or incorporated by reference into the Offering Circular, the statements in (a) above will prevail.</w:t>
      </w:r>
    </w:p>
    <w:p w14:paraId="40473355" w14:textId="77777777" w:rsidR="00F13F6A" w:rsidRPr="00494D8C" w:rsidRDefault="00F13F6A" w:rsidP="00F13F6A">
      <w:pPr>
        <w:pStyle w:val="NormalAshurst"/>
        <w:spacing w:line="288" w:lineRule="auto"/>
        <w:rPr>
          <w:rFonts w:ascii="Times New Roman" w:hAnsi="Times New Roman" w:cs="Times New Roman"/>
          <w:sz w:val="20"/>
        </w:rPr>
      </w:pPr>
      <w:r w:rsidRPr="00494D8C">
        <w:rPr>
          <w:rFonts w:ascii="Times New Roman" w:hAnsi="Times New Roman" w:cs="Times New Roman"/>
          <w:sz w:val="20"/>
        </w:rPr>
        <w:t>Investors who have not previously reviewed the information contained in the documents incorporated by reference above should do so in connection with their evaluation of the Securities.</w:t>
      </w:r>
    </w:p>
    <w:p w14:paraId="58742305" w14:textId="77777777" w:rsidR="00F13F6A" w:rsidRPr="00494D8C" w:rsidRDefault="00F13F6A" w:rsidP="00F13F6A">
      <w:pPr>
        <w:pStyle w:val="NormalAshurst"/>
        <w:spacing w:line="288" w:lineRule="auto"/>
        <w:rPr>
          <w:rFonts w:ascii="Times New Roman" w:hAnsi="Times New Roman" w:cs="Times New Roman"/>
          <w:sz w:val="20"/>
        </w:rPr>
      </w:pPr>
      <w:r w:rsidRPr="00494D8C">
        <w:rPr>
          <w:rFonts w:ascii="Times New Roman" w:hAnsi="Times New Roman" w:cs="Times New Roman"/>
          <w:sz w:val="20"/>
        </w:rPr>
        <w:t xml:space="preserve">This Supplement and the documents incorporated by reference into it will be published on the Luxembourg Stock Exchange's website at </w:t>
      </w:r>
      <w:r w:rsidRPr="00494D8C">
        <w:rPr>
          <w:rFonts w:ascii="Times New Roman" w:hAnsi="Times New Roman" w:cs="Times New Roman"/>
          <w:i/>
          <w:iCs/>
          <w:sz w:val="20"/>
        </w:rPr>
        <w:t>www.luxse.com</w:t>
      </w:r>
      <w:r w:rsidRPr="00494D8C">
        <w:rPr>
          <w:rFonts w:ascii="Times New Roman" w:hAnsi="Times New Roman" w:cs="Times New Roman"/>
          <w:sz w:val="20"/>
        </w:rPr>
        <w:t xml:space="preserve">. In addition, any person receiving a copy of this Supplement may obtain, without charge, upon written or oral request, copies of the documents incorporated by reference herein. Copies of the documents incorporated by reference into this Supplement will be available free of charge during normal business hours on any weekday (Saturdays, Sundays and public holidays excepted), in physical or electronic form, at the office of the Principal Programme Agent  (The Bank of New York Mellon, London Branch, 160 Queen Victoria Street, London </w:t>
      </w:r>
      <w:proofErr w:type="spellStart"/>
      <w:r w:rsidRPr="00494D8C">
        <w:rPr>
          <w:rFonts w:ascii="Times New Roman" w:hAnsi="Times New Roman" w:cs="Times New Roman"/>
          <w:sz w:val="20"/>
        </w:rPr>
        <w:t>EC4V</w:t>
      </w:r>
      <w:proofErr w:type="spellEnd"/>
      <w:r w:rsidRPr="00494D8C">
        <w:rPr>
          <w:rFonts w:ascii="Times New Roman" w:hAnsi="Times New Roman" w:cs="Times New Roman"/>
          <w:sz w:val="20"/>
        </w:rPr>
        <w:t xml:space="preserve"> </w:t>
      </w:r>
      <w:proofErr w:type="spellStart"/>
      <w:r w:rsidRPr="00494D8C">
        <w:rPr>
          <w:rFonts w:ascii="Times New Roman" w:hAnsi="Times New Roman" w:cs="Times New Roman"/>
          <w:sz w:val="20"/>
        </w:rPr>
        <w:t>4LA</w:t>
      </w:r>
      <w:proofErr w:type="spellEnd"/>
      <w:r w:rsidRPr="00494D8C">
        <w:rPr>
          <w:rFonts w:ascii="Times New Roman" w:hAnsi="Times New Roman" w:cs="Times New Roman"/>
          <w:sz w:val="20"/>
        </w:rPr>
        <w:t xml:space="preserve">, United Kingdom), the office of the Paying Agent in Luxembourg (The Bank of New York Mellon S.A./N.V., Luxembourg Branch, Vertigo Building – Polaris, 2-4 rue Eugène Ruppert, L-2453 Luxembourg) and the office of the Irish Listing Agent (The Bank of New York Mellon S.A./N.V. Dublin Branch, Riverside 2, Sir John Rogerson's Quay, Grand Canal Dock, Dublin 2 Ireland). </w:t>
      </w:r>
    </w:p>
    <w:p w14:paraId="1D39542D" w14:textId="10150A52" w:rsidR="00F13F6A" w:rsidRPr="00494D8C" w:rsidRDefault="00F13F6A" w:rsidP="00F13F6A">
      <w:pPr>
        <w:pStyle w:val="NormalAshurst"/>
        <w:spacing w:line="288" w:lineRule="auto"/>
        <w:rPr>
          <w:rFonts w:ascii="Times New Roman" w:hAnsi="Times New Roman" w:cs="Times New Roman"/>
          <w:sz w:val="20"/>
        </w:rPr>
      </w:pPr>
      <w:r w:rsidRPr="00494D8C">
        <w:rPr>
          <w:rFonts w:ascii="Times New Roman" w:hAnsi="Times New Roman" w:cs="Times New Roman"/>
          <w:sz w:val="20"/>
        </w:rPr>
        <w:t xml:space="preserve">This Supplement and the documents incorporated by reference into and contained in it will be available free of charge during normal business hours at the offices of Credit Suisse, </w:t>
      </w:r>
      <w:r w:rsidR="005B3787" w:rsidRPr="00494D8C">
        <w:rPr>
          <w:rFonts w:ascii="Times New Roman" w:hAnsi="Times New Roman" w:cs="Times New Roman"/>
          <w:sz w:val="20"/>
        </w:rPr>
        <w:t xml:space="preserve">attn. Documentation &amp; Issuance Services, </w:t>
      </w:r>
      <w:proofErr w:type="spellStart"/>
      <w:r w:rsidR="005B3787" w:rsidRPr="00494D8C">
        <w:rPr>
          <w:rFonts w:ascii="Times New Roman" w:hAnsi="Times New Roman" w:cs="Times New Roman"/>
          <w:sz w:val="20"/>
        </w:rPr>
        <w:t>VZPD</w:t>
      </w:r>
      <w:proofErr w:type="spellEnd"/>
      <w:r w:rsidR="005B3787" w:rsidRPr="00494D8C">
        <w:rPr>
          <w:rFonts w:ascii="Times New Roman" w:hAnsi="Times New Roman" w:cs="Times New Roman"/>
          <w:sz w:val="20"/>
        </w:rPr>
        <w:t xml:space="preserve"> 5, P.O. Box, 8070 Zürich, Switzerland</w:t>
      </w:r>
      <w:r w:rsidRPr="00494D8C">
        <w:rPr>
          <w:rFonts w:ascii="Times New Roman" w:hAnsi="Times New Roman" w:cs="Times New Roman"/>
          <w:sz w:val="20"/>
        </w:rPr>
        <w:t>.</w:t>
      </w:r>
    </w:p>
    <w:p w14:paraId="21C18DD2" w14:textId="2F9D42A8" w:rsidR="00833787" w:rsidRPr="00494D8C" w:rsidRDefault="00F13F6A" w:rsidP="00F13F6A">
      <w:pPr>
        <w:pStyle w:val="NormalAshurst"/>
        <w:spacing w:line="288" w:lineRule="auto"/>
        <w:rPr>
          <w:rFonts w:ascii="Times New Roman" w:hAnsi="Times New Roman" w:cs="Times New Roman"/>
          <w:sz w:val="20"/>
        </w:rPr>
      </w:pPr>
      <w:r w:rsidRPr="00494D8C">
        <w:rPr>
          <w:rFonts w:ascii="Times New Roman" w:hAnsi="Times New Roman" w:cs="Times New Roman"/>
          <w:sz w:val="20"/>
        </w:rPr>
        <w:t>By virtue of this Supplement, the documents incorporated by reference and contained in this Supplement form a part of the Offering Circular.</w:t>
      </w:r>
    </w:p>
    <w:p w14:paraId="3F12FA94" w14:textId="77777777" w:rsidR="00833787" w:rsidRPr="00494D8C" w:rsidRDefault="00833787">
      <w:pPr>
        <w:spacing w:line="240" w:lineRule="auto"/>
        <w:jc w:val="left"/>
        <w:rPr>
          <w:rFonts w:ascii="Times New Roman" w:eastAsiaTheme="minorEastAsia" w:hAnsi="Times New Roman"/>
          <w:sz w:val="20"/>
          <w:szCs w:val="24"/>
          <w:lang w:eastAsia="zh-TW"/>
        </w:rPr>
      </w:pPr>
      <w:r w:rsidRPr="00494D8C">
        <w:rPr>
          <w:rFonts w:ascii="Times New Roman" w:hAnsi="Times New Roman"/>
          <w:sz w:val="20"/>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0"/>
        <w:gridCol w:w="2841"/>
        <w:gridCol w:w="2841"/>
      </w:tblGrid>
      <w:tr w:rsidR="00833787" w:rsidRPr="00494D8C" w14:paraId="10E228DE" w14:textId="77777777" w:rsidTr="00B86868">
        <w:tc>
          <w:tcPr>
            <w:tcW w:w="8522" w:type="dxa"/>
            <w:gridSpan w:val="3"/>
          </w:tcPr>
          <w:p w14:paraId="5623C78C" w14:textId="77777777" w:rsidR="00833787" w:rsidRPr="00494D8C" w:rsidRDefault="00833787" w:rsidP="00B86868">
            <w:pPr>
              <w:pStyle w:val="StandardOCAshurst"/>
              <w:jc w:val="center"/>
              <w:rPr>
                <w:b/>
              </w:rPr>
            </w:pPr>
            <w:r w:rsidRPr="00494D8C">
              <w:rPr>
                <w:b/>
              </w:rPr>
              <w:lastRenderedPageBreak/>
              <w:t>Registered</w:t>
            </w:r>
            <w:r w:rsidRPr="00494D8C">
              <w:t xml:space="preserve"> </w:t>
            </w:r>
            <w:r w:rsidRPr="00494D8C">
              <w:rPr>
                <w:b/>
              </w:rPr>
              <w:t xml:space="preserve">Office of </w:t>
            </w:r>
            <w:proofErr w:type="spellStart"/>
            <w:r w:rsidRPr="00494D8C">
              <w:rPr>
                <w:b/>
              </w:rPr>
              <w:t>JPMSP</w:t>
            </w:r>
            <w:proofErr w:type="spellEnd"/>
          </w:p>
          <w:p w14:paraId="35AB2026" w14:textId="77777777" w:rsidR="00833787" w:rsidRPr="00494D8C" w:rsidRDefault="00833787" w:rsidP="00B86868">
            <w:pPr>
              <w:pStyle w:val="StandardOCAshurst"/>
              <w:jc w:val="center"/>
              <w:rPr>
                <w:b/>
              </w:rPr>
            </w:pPr>
          </w:p>
          <w:p w14:paraId="00FD26ED" w14:textId="77777777" w:rsidR="00833787" w:rsidRPr="00494D8C" w:rsidRDefault="00833787" w:rsidP="00B86868">
            <w:pPr>
              <w:pStyle w:val="StandardOCAshurst"/>
              <w:jc w:val="center"/>
              <w:rPr>
                <w:b/>
              </w:rPr>
            </w:pPr>
            <w:r w:rsidRPr="00494D8C">
              <w:rPr>
                <w:b/>
              </w:rPr>
              <w:t>J.P. Morgan Structured Products B.V.</w:t>
            </w:r>
          </w:p>
          <w:p w14:paraId="0ACB12C4" w14:textId="77777777" w:rsidR="00833787" w:rsidRPr="00494D8C" w:rsidRDefault="00833787" w:rsidP="00B86868">
            <w:pPr>
              <w:pStyle w:val="StandardOCAshurst"/>
              <w:jc w:val="center"/>
            </w:pPr>
            <w:r w:rsidRPr="00494D8C">
              <w:t xml:space="preserve">Luna </w:t>
            </w:r>
            <w:proofErr w:type="spellStart"/>
            <w:r w:rsidRPr="00494D8C">
              <w:t>ArenA</w:t>
            </w:r>
            <w:proofErr w:type="spellEnd"/>
          </w:p>
          <w:p w14:paraId="2B9B9351" w14:textId="77777777" w:rsidR="00833787" w:rsidRPr="00494D8C" w:rsidRDefault="00833787" w:rsidP="00B86868">
            <w:pPr>
              <w:pStyle w:val="StandardOCAshurst"/>
              <w:jc w:val="center"/>
              <w:rPr>
                <w:lang w:val="de-DE"/>
              </w:rPr>
            </w:pPr>
            <w:proofErr w:type="spellStart"/>
            <w:r w:rsidRPr="00494D8C">
              <w:rPr>
                <w:lang w:val="de-DE"/>
              </w:rPr>
              <w:t>Herikerbergweg</w:t>
            </w:r>
            <w:proofErr w:type="spellEnd"/>
            <w:r w:rsidRPr="00494D8C">
              <w:rPr>
                <w:lang w:val="de-DE"/>
              </w:rPr>
              <w:t xml:space="preserve"> 238</w:t>
            </w:r>
          </w:p>
          <w:p w14:paraId="0A6F4C8E" w14:textId="77777777" w:rsidR="00833787" w:rsidRPr="00494D8C" w:rsidRDefault="00833787" w:rsidP="00B86868">
            <w:pPr>
              <w:pStyle w:val="StandardOCAshurst"/>
              <w:jc w:val="center"/>
              <w:rPr>
                <w:lang w:val="de-DE"/>
              </w:rPr>
            </w:pPr>
            <w:r w:rsidRPr="00494D8C">
              <w:rPr>
                <w:lang w:val="de-DE"/>
              </w:rPr>
              <w:t>1101 CM Amsterdam</w:t>
            </w:r>
          </w:p>
          <w:p w14:paraId="6AD88F4E" w14:textId="77777777" w:rsidR="00833787" w:rsidRPr="00494D8C" w:rsidRDefault="00833787" w:rsidP="00B86868">
            <w:pPr>
              <w:pStyle w:val="StandardOCAshurst"/>
              <w:jc w:val="center"/>
              <w:rPr>
                <w:lang w:val="de-DE"/>
              </w:rPr>
            </w:pPr>
            <w:r w:rsidRPr="00494D8C">
              <w:rPr>
                <w:lang w:val="de-DE"/>
              </w:rPr>
              <w:t xml:space="preserve">The </w:t>
            </w:r>
            <w:proofErr w:type="spellStart"/>
            <w:r w:rsidRPr="00494D8C">
              <w:rPr>
                <w:lang w:val="de-DE"/>
              </w:rPr>
              <w:t>Netherlands</w:t>
            </w:r>
            <w:proofErr w:type="spellEnd"/>
          </w:p>
          <w:p w14:paraId="10FE8FDF" w14:textId="77777777" w:rsidR="00833787" w:rsidRPr="00494D8C" w:rsidRDefault="00833787" w:rsidP="00B86868">
            <w:pPr>
              <w:pStyle w:val="StandardOCAshurst"/>
              <w:jc w:val="center"/>
              <w:rPr>
                <w:lang w:val="de-DE"/>
              </w:rPr>
            </w:pPr>
          </w:p>
        </w:tc>
      </w:tr>
      <w:tr w:rsidR="00833787" w:rsidRPr="00494D8C" w14:paraId="60157C89" w14:textId="77777777" w:rsidTr="00B86868">
        <w:tc>
          <w:tcPr>
            <w:tcW w:w="2840" w:type="dxa"/>
          </w:tcPr>
          <w:p w14:paraId="4F4691BB" w14:textId="77777777" w:rsidR="00833787" w:rsidRPr="00494D8C" w:rsidRDefault="00833787" w:rsidP="00B86868">
            <w:pPr>
              <w:pStyle w:val="StandardOCAshurst"/>
              <w:jc w:val="center"/>
              <w:rPr>
                <w:b/>
              </w:rPr>
            </w:pPr>
            <w:r w:rsidRPr="00494D8C">
              <w:rPr>
                <w:b/>
              </w:rPr>
              <w:t>Registered Office of</w:t>
            </w:r>
          </w:p>
          <w:p w14:paraId="61519EE7" w14:textId="77777777" w:rsidR="00833787" w:rsidRPr="00494D8C" w:rsidRDefault="00833787" w:rsidP="00B86868">
            <w:pPr>
              <w:pStyle w:val="StandardOCAshurst"/>
              <w:jc w:val="center"/>
            </w:pPr>
            <w:r w:rsidRPr="00494D8C">
              <w:rPr>
                <w:b/>
              </w:rPr>
              <w:t>JPMorgan Chase Bank, N.A.</w:t>
            </w:r>
          </w:p>
        </w:tc>
        <w:tc>
          <w:tcPr>
            <w:tcW w:w="2841" w:type="dxa"/>
          </w:tcPr>
          <w:p w14:paraId="1349FA4F" w14:textId="77777777" w:rsidR="00833787" w:rsidRPr="00494D8C" w:rsidRDefault="00833787" w:rsidP="00B86868">
            <w:pPr>
              <w:pStyle w:val="NormalOCAshurst"/>
              <w:jc w:val="center"/>
            </w:pPr>
            <w:r w:rsidRPr="00494D8C">
              <w:rPr>
                <w:b/>
              </w:rPr>
              <w:t xml:space="preserve">Principal Executive Office of </w:t>
            </w:r>
            <w:proofErr w:type="spellStart"/>
            <w:r w:rsidRPr="00494D8C">
              <w:rPr>
                <w:b/>
              </w:rPr>
              <w:t>JPMCFC</w:t>
            </w:r>
            <w:proofErr w:type="spellEnd"/>
          </w:p>
        </w:tc>
        <w:tc>
          <w:tcPr>
            <w:tcW w:w="2841" w:type="dxa"/>
          </w:tcPr>
          <w:p w14:paraId="18145BE1" w14:textId="77777777" w:rsidR="00833787" w:rsidRPr="00494D8C" w:rsidRDefault="00833787" w:rsidP="00B86868">
            <w:pPr>
              <w:pStyle w:val="NormalOCAshurst"/>
              <w:jc w:val="center"/>
            </w:pPr>
            <w:r w:rsidRPr="00494D8C">
              <w:rPr>
                <w:b/>
              </w:rPr>
              <w:t>Principal Office of JPMorgan Chase &amp; Co.</w:t>
            </w:r>
          </w:p>
        </w:tc>
      </w:tr>
      <w:tr w:rsidR="00833787" w:rsidRPr="00494D8C" w14:paraId="19D57960" w14:textId="77777777" w:rsidTr="00B86868">
        <w:tc>
          <w:tcPr>
            <w:tcW w:w="2840" w:type="dxa"/>
          </w:tcPr>
          <w:p w14:paraId="33577DA5" w14:textId="77777777" w:rsidR="00833787" w:rsidRPr="00494D8C" w:rsidRDefault="00833787" w:rsidP="00B86868">
            <w:pPr>
              <w:pStyle w:val="StandardOCAshurst"/>
              <w:jc w:val="center"/>
              <w:rPr>
                <w:b/>
              </w:rPr>
            </w:pPr>
            <w:r w:rsidRPr="00494D8C">
              <w:rPr>
                <w:b/>
              </w:rPr>
              <w:t>JPMorgan Chase Bank, N.A.</w:t>
            </w:r>
          </w:p>
          <w:p w14:paraId="3E7BEFAB" w14:textId="77777777" w:rsidR="00833787" w:rsidRPr="00494D8C" w:rsidRDefault="00833787" w:rsidP="00B86868">
            <w:pPr>
              <w:pStyle w:val="StandardOCAshurst"/>
              <w:jc w:val="center"/>
            </w:pPr>
            <w:r w:rsidRPr="00494D8C">
              <w:t>1111 Polaris Parkway</w:t>
            </w:r>
          </w:p>
          <w:p w14:paraId="33A64CF6" w14:textId="77777777" w:rsidR="00833787" w:rsidRPr="00494D8C" w:rsidRDefault="00833787" w:rsidP="00B86868">
            <w:pPr>
              <w:pStyle w:val="StandardOCAshurst"/>
              <w:jc w:val="center"/>
            </w:pPr>
            <w:r w:rsidRPr="00494D8C">
              <w:t>Columbus, Ohio 43240</w:t>
            </w:r>
          </w:p>
          <w:p w14:paraId="0DE34B0B" w14:textId="77777777" w:rsidR="00833787" w:rsidRPr="00494D8C" w:rsidRDefault="00833787" w:rsidP="00B86868">
            <w:pPr>
              <w:pStyle w:val="StandardOCAshurst"/>
              <w:jc w:val="center"/>
            </w:pPr>
            <w:r w:rsidRPr="00494D8C">
              <w:t>United States of America</w:t>
            </w:r>
          </w:p>
          <w:p w14:paraId="63C29805" w14:textId="77777777" w:rsidR="00833787" w:rsidRPr="00494D8C" w:rsidRDefault="00833787" w:rsidP="00B86868">
            <w:pPr>
              <w:pStyle w:val="StandardOCAshurst"/>
              <w:jc w:val="center"/>
              <w:rPr>
                <w:b/>
              </w:rPr>
            </w:pPr>
          </w:p>
        </w:tc>
        <w:tc>
          <w:tcPr>
            <w:tcW w:w="2841" w:type="dxa"/>
          </w:tcPr>
          <w:p w14:paraId="3B4EEC68" w14:textId="77777777" w:rsidR="00833787" w:rsidRPr="00494D8C" w:rsidRDefault="00833787" w:rsidP="00B86868">
            <w:pPr>
              <w:pStyle w:val="StandardOCAshurst"/>
              <w:jc w:val="center"/>
              <w:rPr>
                <w:b/>
              </w:rPr>
            </w:pPr>
            <w:r w:rsidRPr="00494D8C">
              <w:rPr>
                <w:b/>
              </w:rPr>
              <w:t>JPMorgan Chase Financial Company LLC</w:t>
            </w:r>
          </w:p>
          <w:p w14:paraId="5DD01D88" w14:textId="77777777" w:rsidR="00833787" w:rsidRPr="00494D8C" w:rsidRDefault="00833787" w:rsidP="00B86868">
            <w:pPr>
              <w:pStyle w:val="StandardOCAshurst"/>
              <w:jc w:val="center"/>
            </w:pPr>
            <w:r w:rsidRPr="00494D8C">
              <w:t>383 Madison Avenue</w:t>
            </w:r>
          </w:p>
          <w:p w14:paraId="1409DCC0" w14:textId="77777777" w:rsidR="00833787" w:rsidRPr="00494D8C" w:rsidRDefault="00833787" w:rsidP="00B86868">
            <w:pPr>
              <w:pStyle w:val="StandardOCAshurst"/>
              <w:jc w:val="center"/>
            </w:pPr>
            <w:r w:rsidRPr="00494D8C">
              <w:t>New York, New York 10179</w:t>
            </w:r>
          </w:p>
          <w:p w14:paraId="59666C45" w14:textId="77777777" w:rsidR="00833787" w:rsidRPr="00494D8C" w:rsidRDefault="00833787" w:rsidP="00B86868">
            <w:pPr>
              <w:pStyle w:val="StandardOCAshurst"/>
              <w:jc w:val="center"/>
            </w:pPr>
            <w:r w:rsidRPr="00494D8C">
              <w:t>United States of America</w:t>
            </w:r>
          </w:p>
          <w:p w14:paraId="49546796" w14:textId="77777777" w:rsidR="00833787" w:rsidRPr="00494D8C" w:rsidRDefault="00833787" w:rsidP="00B86868">
            <w:pPr>
              <w:pStyle w:val="StandardOCAshurst"/>
              <w:jc w:val="center"/>
              <w:rPr>
                <w:b/>
              </w:rPr>
            </w:pPr>
          </w:p>
        </w:tc>
        <w:tc>
          <w:tcPr>
            <w:tcW w:w="2841" w:type="dxa"/>
          </w:tcPr>
          <w:p w14:paraId="4616BB23" w14:textId="77777777" w:rsidR="00833787" w:rsidRPr="00494D8C" w:rsidRDefault="00833787" w:rsidP="00B86868">
            <w:pPr>
              <w:pStyle w:val="StandardOCAshurst"/>
              <w:jc w:val="center"/>
              <w:rPr>
                <w:b/>
              </w:rPr>
            </w:pPr>
            <w:r w:rsidRPr="00494D8C">
              <w:rPr>
                <w:b/>
              </w:rPr>
              <w:t>JPMorgan Chase &amp; Co.</w:t>
            </w:r>
          </w:p>
          <w:p w14:paraId="7115F8CA" w14:textId="77777777" w:rsidR="00833787" w:rsidRPr="00494D8C" w:rsidRDefault="00833787" w:rsidP="00B86868">
            <w:pPr>
              <w:pStyle w:val="StandardOCAshurst"/>
              <w:jc w:val="center"/>
            </w:pPr>
            <w:r w:rsidRPr="00494D8C">
              <w:t>383 Madison Avenue</w:t>
            </w:r>
          </w:p>
          <w:p w14:paraId="72F65DBB" w14:textId="77777777" w:rsidR="00833787" w:rsidRPr="00494D8C" w:rsidRDefault="00833787" w:rsidP="00B86868">
            <w:pPr>
              <w:pStyle w:val="StandardOCAshurst"/>
              <w:jc w:val="center"/>
            </w:pPr>
            <w:r w:rsidRPr="00494D8C">
              <w:t>New York, New York 10179</w:t>
            </w:r>
          </w:p>
          <w:p w14:paraId="7076D4FA" w14:textId="77777777" w:rsidR="00833787" w:rsidRPr="00494D8C" w:rsidRDefault="00833787" w:rsidP="00B86868">
            <w:pPr>
              <w:pStyle w:val="StandardOCAshurst"/>
              <w:jc w:val="center"/>
              <w:rPr>
                <w:b/>
              </w:rPr>
            </w:pPr>
            <w:r w:rsidRPr="00494D8C">
              <w:t>United States of America</w:t>
            </w:r>
          </w:p>
        </w:tc>
      </w:tr>
      <w:tr w:rsidR="00833787" w:rsidRPr="00494D8C" w14:paraId="00425924" w14:textId="77777777" w:rsidTr="00B86868">
        <w:tc>
          <w:tcPr>
            <w:tcW w:w="2840" w:type="dxa"/>
          </w:tcPr>
          <w:p w14:paraId="2D9E29C6" w14:textId="77777777" w:rsidR="00833787" w:rsidRPr="00494D8C" w:rsidRDefault="00833787" w:rsidP="00B86868">
            <w:pPr>
              <w:pStyle w:val="StandardOCAshurst"/>
              <w:jc w:val="center"/>
              <w:rPr>
                <w:b/>
              </w:rPr>
            </w:pPr>
          </w:p>
        </w:tc>
        <w:tc>
          <w:tcPr>
            <w:tcW w:w="2841" w:type="dxa"/>
          </w:tcPr>
          <w:p w14:paraId="27B558DD" w14:textId="77777777" w:rsidR="00833787" w:rsidRPr="00494D8C" w:rsidRDefault="00833787" w:rsidP="00B86868">
            <w:pPr>
              <w:pStyle w:val="StandardOCAshurst"/>
              <w:jc w:val="center"/>
              <w:rPr>
                <w:b/>
              </w:rPr>
            </w:pPr>
            <w:r w:rsidRPr="00494D8C">
              <w:rPr>
                <w:b/>
              </w:rPr>
              <w:t>Dealer and Arranger</w:t>
            </w:r>
          </w:p>
          <w:p w14:paraId="731ED825" w14:textId="77777777" w:rsidR="00833787" w:rsidRPr="00494D8C" w:rsidRDefault="00833787" w:rsidP="00B86868">
            <w:pPr>
              <w:pStyle w:val="StandardOCAshurst"/>
              <w:jc w:val="center"/>
              <w:rPr>
                <w:b/>
              </w:rPr>
            </w:pPr>
          </w:p>
        </w:tc>
        <w:tc>
          <w:tcPr>
            <w:tcW w:w="2841" w:type="dxa"/>
          </w:tcPr>
          <w:p w14:paraId="0156F6AF" w14:textId="77777777" w:rsidR="00833787" w:rsidRPr="00494D8C" w:rsidRDefault="00833787" w:rsidP="00B86868">
            <w:pPr>
              <w:pStyle w:val="StandardOCAshurst"/>
              <w:jc w:val="center"/>
              <w:rPr>
                <w:b/>
              </w:rPr>
            </w:pPr>
          </w:p>
        </w:tc>
      </w:tr>
      <w:tr w:rsidR="00833787" w:rsidRPr="00494D8C" w14:paraId="136881A1" w14:textId="77777777" w:rsidTr="00B86868">
        <w:tc>
          <w:tcPr>
            <w:tcW w:w="2840" w:type="dxa"/>
          </w:tcPr>
          <w:p w14:paraId="0C626B16" w14:textId="77777777" w:rsidR="00833787" w:rsidRPr="00494D8C" w:rsidRDefault="00833787" w:rsidP="00B86868">
            <w:pPr>
              <w:pStyle w:val="StandardOCAshurst"/>
              <w:jc w:val="center"/>
              <w:rPr>
                <w:b/>
              </w:rPr>
            </w:pPr>
          </w:p>
        </w:tc>
        <w:tc>
          <w:tcPr>
            <w:tcW w:w="2841" w:type="dxa"/>
          </w:tcPr>
          <w:p w14:paraId="36B2E207" w14:textId="77777777" w:rsidR="00833787" w:rsidRPr="00494D8C" w:rsidRDefault="00833787" w:rsidP="00B86868">
            <w:pPr>
              <w:pStyle w:val="StandardOCAshurst"/>
              <w:jc w:val="center"/>
              <w:rPr>
                <w:b/>
              </w:rPr>
            </w:pPr>
            <w:r w:rsidRPr="00494D8C">
              <w:rPr>
                <w:b/>
              </w:rPr>
              <w:t>J.P. Morgan Securities plc</w:t>
            </w:r>
          </w:p>
          <w:p w14:paraId="0795E902" w14:textId="77777777" w:rsidR="00833787" w:rsidRPr="00494D8C" w:rsidRDefault="00833787" w:rsidP="00B86868">
            <w:pPr>
              <w:pStyle w:val="StandardOCAshurst"/>
              <w:jc w:val="center"/>
            </w:pPr>
            <w:r w:rsidRPr="00494D8C">
              <w:t>25 Bank Street</w:t>
            </w:r>
          </w:p>
          <w:p w14:paraId="1D18A9A0" w14:textId="77777777" w:rsidR="00833787" w:rsidRPr="00494D8C" w:rsidRDefault="00833787" w:rsidP="00B86868">
            <w:pPr>
              <w:pStyle w:val="StandardOCAshurst"/>
              <w:jc w:val="center"/>
            </w:pPr>
            <w:r w:rsidRPr="00494D8C">
              <w:t>Canary Wharf</w:t>
            </w:r>
          </w:p>
          <w:p w14:paraId="563025EE" w14:textId="77777777" w:rsidR="00833787" w:rsidRPr="00494D8C" w:rsidRDefault="00833787" w:rsidP="00B86868">
            <w:pPr>
              <w:pStyle w:val="StandardOCAshurst"/>
              <w:jc w:val="center"/>
            </w:pPr>
            <w:r w:rsidRPr="00494D8C">
              <w:t xml:space="preserve">London, </w:t>
            </w:r>
            <w:proofErr w:type="spellStart"/>
            <w:r w:rsidRPr="00494D8C">
              <w:t>E14</w:t>
            </w:r>
            <w:proofErr w:type="spellEnd"/>
            <w:r w:rsidRPr="00494D8C">
              <w:t xml:space="preserve"> </w:t>
            </w:r>
            <w:proofErr w:type="spellStart"/>
            <w:r w:rsidRPr="00494D8C">
              <w:t>5JP</w:t>
            </w:r>
            <w:proofErr w:type="spellEnd"/>
          </w:p>
          <w:p w14:paraId="102C0E41" w14:textId="77777777" w:rsidR="00833787" w:rsidRPr="00494D8C" w:rsidRDefault="00833787" w:rsidP="00B86868">
            <w:pPr>
              <w:pStyle w:val="StandardOCAshurst"/>
              <w:jc w:val="center"/>
            </w:pPr>
            <w:r w:rsidRPr="00494D8C">
              <w:t>United Kingdom</w:t>
            </w:r>
          </w:p>
          <w:p w14:paraId="052B9195" w14:textId="77777777" w:rsidR="00833787" w:rsidRPr="00494D8C" w:rsidRDefault="00833787" w:rsidP="00B86868">
            <w:pPr>
              <w:pStyle w:val="StandardOCAshurst"/>
              <w:jc w:val="center"/>
              <w:rPr>
                <w:b/>
              </w:rPr>
            </w:pPr>
          </w:p>
        </w:tc>
        <w:tc>
          <w:tcPr>
            <w:tcW w:w="2841" w:type="dxa"/>
          </w:tcPr>
          <w:p w14:paraId="737CBCEB" w14:textId="77777777" w:rsidR="00833787" w:rsidRPr="00494D8C" w:rsidRDefault="00833787" w:rsidP="00B86868">
            <w:pPr>
              <w:pStyle w:val="StandardOCAshurst"/>
              <w:jc w:val="center"/>
              <w:rPr>
                <w:b/>
              </w:rPr>
            </w:pPr>
          </w:p>
        </w:tc>
      </w:tr>
      <w:tr w:rsidR="00833787" w:rsidRPr="00494D8C" w14:paraId="02E5C3E6" w14:textId="77777777" w:rsidTr="00B86868">
        <w:tc>
          <w:tcPr>
            <w:tcW w:w="2840" w:type="dxa"/>
          </w:tcPr>
          <w:p w14:paraId="2B41B383" w14:textId="77777777" w:rsidR="00833787" w:rsidRPr="00494D8C" w:rsidRDefault="00833787" w:rsidP="00B86868">
            <w:pPr>
              <w:pStyle w:val="StandardOCAshurst"/>
              <w:jc w:val="center"/>
              <w:rPr>
                <w:b/>
              </w:rPr>
            </w:pPr>
          </w:p>
        </w:tc>
        <w:tc>
          <w:tcPr>
            <w:tcW w:w="2841" w:type="dxa"/>
          </w:tcPr>
          <w:p w14:paraId="12908102" w14:textId="77777777" w:rsidR="00833787" w:rsidRPr="00494D8C" w:rsidRDefault="00833787" w:rsidP="00B86868">
            <w:pPr>
              <w:pStyle w:val="StandardOCAshurst"/>
              <w:jc w:val="center"/>
              <w:rPr>
                <w:b/>
              </w:rPr>
            </w:pPr>
            <w:r w:rsidRPr="00494D8C">
              <w:rPr>
                <w:b/>
              </w:rPr>
              <w:t>Dealers</w:t>
            </w:r>
          </w:p>
          <w:p w14:paraId="4CB1EA17" w14:textId="77777777" w:rsidR="00833787" w:rsidRPr="00494D8C" w:rsidRDefault="00833787" w:rsidP="00B86868">
            <w:pPr>
              <w:pStyle w:val="StandardOCAshurst"/>
              <w:jc w:val="center"/>
              <w:rPr>
                <w:b/>
              </w:rPr>
            </w:pPr>
          </w:p>
        </w:tc>
        <w:tc>
          <w:tcPr>
            <w:tcW w:w="2841" w:type="dxa"/>
          </w:tcPr>
          <w:p w14:paraId="606E4F51" w14:textId="77777777" w:rsidR="00833787" w:rsidRPr="00494D8C" w:rsidRDefault="00833787" w:rsidP="00B86868">
            <w:pPr>
              <w:pStyle w:val="StandardOCAshurst"/>
              <w:jc w:val="center"/>
              <w:rPr>
                <w:b/>
              </w:rPr>
            </w:pPr>
          </w:p>
        </w:tc>
      </w:tr>
      <w:tr w:rsidR="00833787" w:rsidRPr="00494D8C" w14:paraId="3E8570E5" w14:textId="77777777" w:rsidTr="00B86868">
        <w:tc>
          <w:tcPr>
            <w:tcW w:w="2840" w:type="dxa"/>
          </w:tcPr>
          <w:p w14:paraId="4399107E" w14:textId="77777777" w:rsidR="00833787" w:rsidRPr="00494D8C" w:rsidRDefault="00833787" w:rsidP="00B86868">
            <w:pPr>
              <w:pStyle w:val="StandardOCAshurst"/>
              <w:jc w:val="center"/>
              <w:rPr>
                <w:b/>
              </w:rPr>
            </w:pPr>
            <w:r w:rsidRPr="00494D8C">
              <w:rPr>
                <w:b/>
              </w:rPr>
              <w:t>J.P. Morgan Securities LLC</w:t>
            </w:r>
          </w:p>
          <w:p w14:paraId="621A859E" w14:textId="77777777" w:rsidR="00833787" w:rsidRPr="00494D8C" w:rsidRDefault="00833787" w:rsidP="00B86868">
            <w:pPr>
              <w:pStyle w:val="StandardOCAshurst"/>
              <w:jc w:val="center"/>
            </w:pPr>
            <w:r w:rsidRPr="00494D8C">
              <w:t>383 Madison Avenue</w:t>
            </w:r>
          </w:p>
          <w:p w14:paraId="2E84F90F" w14:textId="77777777" w:rsidR="00833787" w:rsidRPr="00494D8C" w:rsidRDefault="00833787" w:rsidP="00B86868">
            <w:pPr>
              <w:pStyle w:val="StandardOCAshurst"/>
              <w:jc w:val="center"/>
            </w:pPr>
            <w:r w:rsidRPr="00494D8C">
              <w:t>5th Floor</w:t>
            </w:r>
          </w:p>
          <w:p w14:paraId="3E537530" w14:textId="77777777" w:rsidR="00833787" w:rsidRPr="00494D8C" w:rsidRDefault="00833787" w:rsidP="00B86868">
            <w:pPr>
              <w:pStyle w:val="StandardOCAshurst"/>
              <w:jc w:val="center"/>
            </w:pPr>
            <w:r w:rsidRPr="00494D8C">
              <w:t>New York, New York 10179</w:t>
            </w:r>
          </w:p>
          <w:p w14:paraId="22C389E2" w14:textId="77777777" w:rsidR="00833787" w:rsidRPr="00494D8C" w:rsidRDefault="00833787" w:rsidP="00B86868">
            <w:pPr>
              <w:pStyle w:val="StandardOCAshurst"/>
              <w:jc w:val="center"/>
            </w:pPr>
            <w:r w:rsidRPr="00494D8C">
              <w:t>United States of America</w:t>
            </w:r>
          </w:p>
          <w:p w14:paraId="428D559A" w14:textId="77777777" w:rsidR="00833787" w:rsidRPr="00494D8C" w:rsidRDefault="00833787" w:rsidP="00B86868">
            <w:pPr>
              <w:pStyle w:val="StandardOCAshurst"/>
              <w:jc w:val="center"/>
              <w:rPr>
                <w:b/>
              </w:rPr>
            </w:pPr>
          </w:p>
          <w:p w14:paraId="4319DF1E" w14:textId="77777777" w:rsidR="00833787" w:rsidRPr="00494D8C" w:rsidRDefault="00833787" w:rsidP="00B86868">
            <w:pPr>
              <w:pStyle w:val="StandardOCAshurst"/>
              <w:jc w:val="center"/>
              <w:rPr>
                <w:b/>
              </w:rPr>
            </w:pPr>
            <w:r w:rsidRPr="00494D8C">
              <w:rPr>
                <w:b/>
              </w:rPr>
              <w:t>J.P. Morgan Securities Australia Limited</w:t>
            </w:r>
          </w:p>
          <w:p w14:paraId="52916A7F" w14:textId="77777777" w:rsidR="00833787" w:rsidRPr="00494D8C" w:rsidRDefault="00833787" w:rsidP="00B86868">
            <w:pPr>
              <w:pStyle w:val="StandardOCAshurst"/>
              <w:jc w:val="center"/>
            </w:pPr>
            <w:r w:rsidRPr="00494D8C">
              <w:t>Level 18</w:t>
            </w:r>
          </w:p>
          <w:p w14:paraId="2FAF79DB" w14:textId="77777777" w:rsidR="00833787" w:rsidRPr="00494D8C" w:rsidRDefault="00833787" w:rsidP="00B86868">
            <w:pPr>
              <w:pStyle w:val="StandardOCAshurst"/>
              <w:jc w:val="center"/>
            </w:pPr>
            <w:r w:rsidRPr="00494D8C">
              <w:t>85 Castlereagh Street,</w:t>
            </w:r>
          </w:p>
          <w:p w14:paraId="79E299BA" w14:textId="77777777" w:rsidR="00833787" w:rsidRPr="00494D8C" w:rsidRDefault="00833787" w:rsidP="00B86868">
            <w:pPr>
              <w:pStyle w:val="StandardOCAshurst"/>
              <w:jc w:val="center"/>
            </w:pPr>
            <w:r w:rsidRPr="00494D8C">
              <w:t>Sydney NSW 2000</w:t>
            </w:r>
          </w:p>
          <w:p w14:paraId="0530663E" w14:textId="77777777" w:rsidR="00833787" w:rsidRPr="00494D8C" w:rsidRDefault="00833787" w:rsidP="00B86868">
            <w:pPr>
              <w:pStyle w:val="StandardOCAshurst"/>
              <w:jc w:val="center"/>
              <w:rPr>
                <w:b/>
              </w:rPr>
            </w:pPr>
            <w:r w:rsidRPr="00494D8C">
              <w:t>Australia</w:t>
            </w:r>
          </w:p>
        </w:tc>
        <w:tc>
          <w:tcPr>
            <w:tcW w:w="2841" w:type="dxa"/>
          </w:tcPr>
          <w:p w14:paraId="2CCEFAC4" w14:textId="77777777" w:rsidR="00833787" w:rsidRPr="00494D8C" w:rsidRDefault="00833787" w:rsidP="00B86868">
            <w:pPr>
              <w:pStyle w:val="StandardOCAshurst"/>
              <w:jc w:val="center"/>
              <w:rPr>
                <w:b/>
                <w:lang w:val="de-DE"/>
              </w:rPr>
            </w:pPr>
            <w:proofErr w:type="spellStart"/>
            <w:r w:rsidRPr="00494D8C">
              <w:rPr>
                <w:b/>
                <w:lang w:val="de-DE"/>
              </w:rPr>
              <w:t>J.P</w:t>
            </w:r>
            <w:proofErr w:type="spellEnd"/>
            <w:r w:rsidRPr="00494D8C">
              <w:rPr>
                <w:b/>
                <w:lang w:val="de-DE"/>
              </w:rPr>
              <w:t>. Morgan SE</w:t>
            </w:r>
          </w:p>
          <w:p w14:paraId="1B770B6B" w14:textId="77777777" w:rsidR="00833787" w:rsidRPr="00494D8C" w:rsidRDefault="00833787" w:rsidP="00B86868">
            <w:pPr>
              <w:pStyle w:val="StandardOCAshurst"/>
              <w:jc w:val="center"/>
              <w:rPr>
                <w:lang w:val="de-DE"/>
              </w:rPr>
            </w:pPr>
            <w:proofErr w:type="spellStart"/>
            <w:r w:rsidRPr="00494D8C">
              <w:rPr>
                <w:lang w:val="de-DE"/>
              </w:rPr>
              <w:t>TaunusTurm</w:t>
            </w:r>
            <w:proofErr w:type="spellEnd"/>
          </w:p>
          <w:p w14:paraId="40FDD606" w14:textId="77777777" w:rsidR="00833787" w:rsidRPr="00494D8C" w:rsidRDefault="00833787" w:rsidP="00B86868">
            <w:pPr>
              <w:pStyle w:val="StandardOCAshurst"/>
              <w:jc w:val="center"/>
              <w:rPr>
                <w:lang w:val="de-DE"/>
              </w:rPr>
            </w:pPr>
            <w:r w:rsidRPr="00494D8C">
              <w:rPr>
                <w:lang w:val="de-DE"/>
              </w:rPr>
              <w:t>Taunustor 1</w:t>
            </w:r>
          </w:p>
          <w:p w14:paraId="650868F6" w14:textId="77777777" w:rsidR="00833787" w:rsidRPr="00494D8C" w:rsidRDefault="00833787" w:rsidP="00B86868">
            <w:pPr>
              <w:pStyle w:val="StandardOCAshurst"/>
              <w:jc w:val="center"/>
              <w:rPr>
                <w:lang w:val="de-DE"/>
              </w:rPr>
            </w:pPr>
            <w:r w:rsidRPr="00494D8C">
              <w:rPr>
                <w:lang w:val="de-DE"/>
              </w:rPr>
              <w:t>60310 Frankfurt am Main</w:t>
            </w:r>
          </w:p>
          <w:p w14:paraId="0EAF9BD5" w14:textId="77777777" w:rsidR="00833787" w:rsidRPr="00494D8C" w:rsidRDefault="00833787" w:rsidP="00B86868">
            <w:pPr>
              <w:pStyle w:val="StandardOCAshurst"/>
              <w:jc w:val="center"/>
              <w:rPr>
                <w:b/>
                <w:lang w:val="de-DE"/>
              </w:rPr>
            </w:pPr>
            <w:r w:rsidRPr="00494D8C">
              <w:rPr>
                <w:lang w:val="de-DE"/>
              </w:rPr>
              <w:t>Germany</w:t>
            </w:r>
          </w:p>
        </w:tc>
        <w:tc>
          <w:tcPr>
            <w:tcW w:w="2841" w:type="dxa"/>
          </w:tcPr>
          <w:p w14:paraId="01F9F487" w14:textId="77777777" w:rsidR="00833787" w:rsidRPr="00494D8C" w:rsidRDefault="00833787" w:rsidP="00B86868">
            <w:pPr>
              <w:pStyle w:val="StandardOCAshurst"/>
              <w:jc w:val="center"/>
            </w:pPr>
            <w:r w:rsidRPr="00494D8C">
              <w:rPr>
                <w:b/>
              </w:rPr>
              <w:t>J.P. Morgan Securities (Asia Pacific) Limited</w:t>
            </w:r>
          </w:p>
          <w:p w14:paraId="6D2690B8" w14:textId="77777777" w:rsidR="00833787" w:rsidRPr="00494D8C" w:rsidRDefault="00833787" w:rsidP="00B86868">
            <w:pPr>
              <w:pStyle w:val="StandardOCAshurst"/>
              <w:jc w:val="center"/>
            </w:pPr>
            <w:r w:rsidRPr="00494D8C">
              <w:t xml:space="preserve">25/F </w:t>
            </w:r>
            <w:proofErr w:type="spellStart"/>
            <w:r w:rsidRPr="00494D8C">
              <w:t>Chater</w:t>
            </w:r>
            <w:proofErr w:type="spellEnd"/>
            <w:r w:rsidRPr="00494D8C">
              <w:t xml:space="preserve"> House</w:t>
            </w:r>
          </w:p>
          <w:p w14:paraId="7B8ACD17" w14:textId="77777777" w:rsidR="00833787" w:rsidRPr="00494D8C" w:rsidRDefault="00833787" w:rsidP="00B86868">
            <w:pPr>
              <w:pStyle w:val="StandardOCAshurst"/>
              <w:jc w:val="center"/>
            </w:pPr>
            <w:r w:rsidRPr="00494D8C">
              <w:t>8 Connaught Road Central</w:t>
            </w:r>
          </w:p>
          <w:p w14:paraId="16EAF201" w14:textId="77777777" w:rsidR="00833787" w:rsidRPr="00494D8C" w:rsidRDefault="00833787" w:rsidP="00B86868">
            <w:pPr>
              <w:pStyle w:val="StandardOCAshurst"/>
              <w:jc w:val="center"/>
            </w:pPr>
            <w:r w:rsidRPr="00494D8C">
              <w:t>Hong Kong</w:t>
            </w:r>
          </w:p>
          <w:p w14:paraId="4E52D393" w14:textId="77777777" w:rsidR="00833787" w:rsidRPr="00494D8C" w:rsidRDefault="00833787" w:rsidP="00B86868">
            <w:pPr>
              <w:pStyle w:val="StandardOCAshurst"/>
              <w:jc w:val="center"/>
            </w:pPr>
          </w:p>
          <w:p w14:paraId="5A8B859E" w14:textId="77777777" w:rsidR="00833787" w:rsidRPr="00494D8C" w:rsidRDefault="00833787" w:rsidP="00B86868">
            <w:pPr>
              <w:pStyle w:val="StandardOCAshurst"/>
              <w:jc w:val="center"/>
              <w:rPr>
                <w:b/>
              </w:rPr>
            </w:pPr>
            <w:r w:rsidRPr="00494D8C">
              <w:rPr>
                <w:b/>
              </w:rPr>
              <w:t>JPMorgan Securities Japan Co., Ltd.</w:t>
            </w:r>
          </w:p>
          <w:p w14:paraId="3591E8B9" w14:textId="77777777" w:rsidR="00833787" w:rsidRPr="00494D8C" w:rsidRDefault="00833787" w:rsidP="00B86868">
            <w:pPr>
              <w:pStyle w:val="StandardOCAshurst"/>
              <w:jc w:val="center"/>
            </w:pPr>
            <w:r w:rsidRPr="00494D8C">
              <w:t xml:space="preserve">Tokyo Building </w:t>
            </w:r>
          </w:p>
          <w:p w14:paraId="3999D162" w14:textId="77777777" w:rsidR="00833787" w:rsidRPr="00494D8C" w:rsidRDefault="00833787" w:rsidP="00B86868">
            <w:pPr>
              <w:pStyle w:val="StandardOCAshurst"/>
              <w:jc w:val="center"/>
            </w:pPr>
            <w:r w:rsidRPr="00494D8C">
              <w:t>7-3 Marunouchi 2-</w:t>
            </w:r>
            <w:proofErr w:type="spellStart"/>
            <w:r w:rsidRPr="00494D8C">
              <w:t>Chome</w:t>
            </w:r>
            <w:proofErr w:type="spellEnd"/>
          </w:p>
          <w:p w14:paraId="5D025DB6" w14:textId="77777777" w:rsidR="00833787" w:rsidRPr="00494D8C" w:rsidRDefault="00833787" w:rsidP="00B86868">
            <w:pPr>
              <w:pStyle w:val="StandardOCAshurst"/>
              <w:jc w:val="center"/>
            </w:pPr>
            <w:r w:rsidRPr="00494D8C">
              <w:t>Chiyoda-</w:t>
            </w:r>
            <w:proofErr w:type="spellStart"/>
            <w:r w:rsidRPr="00494D8C">
              <w:t>ku</w:t>
            </w:r>
            <w:proofErr w:type="spellEnd"/>
            <w:r w:rsidRPr="00494D8C">
              <w:t>,</w:t>
            </w:r>
          </w:p>
          <w:p w14:paraId="3ED20967" w14:textId="77777777" w:rsidR="00833787" w:rsidRPr="00494D8C" w:rsidRDefault="00833787" w:rsidP="00B86868">
            <w:pPr>
              <w:pStyle w:val="StandardOCAshurst"/>
              <w:jc w:val="center"/>
            </w:pPr>
            <w:r w:rsidRPr="00494D8C">
              <w:t>Tokyo 100-6432</w:t>
            </w:r>
          </w:p>
          <w:p w14:paraId="1ABF78AE" w14:textId="77777777" w:rsidR="00833787" w:rsidRPr="00494D8C" w:rsidRDefault="00833787" w:rsidP="00B86868">
            <w:pPr>
              <w:pStyle w:val="StandardOCAshurst"/>
              <w:jc w:val="center"/>
              <w:rPr>
                <w:b/>
              </w:rPr>
            </w:pPr>
            <w:r w:rsidRPr="00494D8C">
              <w:t>Japan</w:t>
            </w:r>
          </w:p>
        </w:tc>
      </w:tr>
      <w:tr w:rsidR="00833787" w:rsidRPr="00494D8C" w14:paraId="4CFBDB0D" w14:textId="77777777" w:rsidTr="00B86868">
        <w:tc>
          <w:tcPr>
            <w:tcW w:w="2840" w:type="dxa"/>
          </w:tcPr>
          <w:p w14:paraId="2048D82F" w14:textId="77777777" w:rsidR="00833787" w:rsidRPr="00494D8C" w:rsidRDefault="00833787" w:rsidP="00B86868">
            <w:pPr>
              <w:pStyle w:val="StandardOCAshurst"/>
              <w:jc w:val="center"/>
              <w:rPr>
                <w:b/>
              </w:rPr>
            </w:pPr>
          </w:p>
        </w:tc>
        <w:tc>
          <w:tcPr>
            <w:tcW w:w="2841" w:type="dxa"/>
          </w:tcPr>
          <w:p w14:paraId="259A587F" w14:textId="77777777" w:rsidR="00833787" w:rsidRPr="00494D8C" w:rsidRDefault="00833787" w:rsidP="00B86868">
            <w:pPr>
              <w:pStyle w:val="StandardOCAshurst"/>
              <w:jc w:val="center"/>
              <w:rPr>
                <w:b/>
              </w:rPr>
            </w:pPr>
          </w:p>
        </w:tc>
        <w:tc>
          <w:tcPr>
            <w:tcW w:w="2841" w:type="dxa"/>
          </w:tcPr>
          <w:p w14:paraId="2D41B650" w14:textId="77777777" w:rsidR="00833787" w:rsidRPr="00494D8C" w:rsidRDefault="00833787" w:rsidP="00B86868">
            <w:pPr>
              <w:pStyle w:val="StandardOCAshurst"/>
              <w:jc w:val="center"/>
              <w:rPr>
                <w:b/>
              </w:rPr>
            </w:pPr>
          </w:p>
        </w:tc>
      </w:tr>
      <w:tr w:rsidR="00833787" w:rsidRPr="00494D8C" w14:paraId="587B6D42" w14:textId="77777777" w:rsidTr="00B86868">
        <w:tc>
          <w:tcPr>
            <w:tcW w:w="2840" w:type="dxa"/>
          </w:tcPr>
          <w:p w14:paraId="750F6034" w14:textId="77777777" w:rsidR="00833787" w:rsidRPr="00494D8C" w:rsidRDefault="00833787" w:rsidP="00B86868">
            <w:pPr>
              <w:pStyle w:val="StandardOCAshurst"/>
              <w:jc w:val="center"/>
              <w:rPr>
                <w:b/>
              </w:rPr>
            </w:pPr>
            <w:r w:rsidRPr="00494D8C">
              <w:rPr>
                <w:b/>
              </w:rPr>
              <w:t>Principal Programme Agent, Paying Agent and</w:t>
            </w:r>
          </w:p>
          <w:p w14:paraId="69EAACF7" w14:textId="77777777" w:rsidR="00833787" w:rsidRPr="00494D8C" w:rsidRDefault="00833787" w:rsidP="00B86868">
            <w:pPr>
              <w:pStyle w:val="StandardOCAshurst"/>
              <w:jc w:val="center"/>
            </w:pPr>
            <w:r w:rsidRPr="00494D8C">
              <w:rPr>
                <w:b/>
              </w:rPr>
              <w:t>Transfer Agent</w:t>
            </w:r>
          </w:p>
          <w:p w14:paraId="6AFA6628" w14:textId="77777777" w:rsidR="00833787" w:rsidRPr="00494D8C" w:rsidRDefault="00833787" w:rsidP="00B86868">
            <w:pPr>
              <w:pStyle w:val="StandardOCAshurst"/>
              <w:jc w:val="center"/>
              <w:rPr>
                <w:b/>
              </w:rPr>
            </w:pPr>
          </w:p>
        </w:tc>
        <w:tc>
          <w:tcPr>
            <w:tcW w:w="2841" w:type="dxa"/>
          </w:tcPr>
          <w:p w14:paraId="232DF1FC" w14:textId="77777777" w:rsidR="00833787" w:rsidRPr="00494D8C" w:rsidRDefault="00833787" w:rsidP="00B86868">
            <w:pPr>
              <w:pStyle w:val="StandardOCAshurst"/>
              <w:jc w:val="center"/>
              <w:rPr>
                <w:b/>
              </w:rPr>
            </w:pPr>
          </w:p>
        </w:tc>
        <w:tc>
          <w:tcPr>
            <w:tcW w:w="2841" w:type="dxa"/>
          </w:tcPr>
          <w:p w14:paraId="34A9284A" w14:textId="77777777" w:rsidR="00833787" w:rsidRPr="00494D8C" w:rsidRDefault="00833787" w:rsidP="00B86868">
            <w:pPr>
              <w:pStyle w:val="StandardOCAshurst"/>
              <w:jc w:val="center"/>
              <w:rPr>
                <w:b/>
              </w:rPr>
            </w:pPr>
            <w:r w:rsidRPr="00494D8C">
              <w:rPr>
                <w:b/>
              </w:rPr>
              <w:t>Paying Agent, Registrar and Transfer Agent</w:t>
            </w:r>
          </w:p>
        </w:tc>
      </w:tr>
      <w:tr w:rsidR="00833787" w:rsidRPr="00494D8C" w14:paraId="4586E517" w14:textId="77777777" w:rsidTr="00B86868">
        <w:tc>
          <w:tcPr>
            <w:tcW w:w="2840" w:type="dxa"/>
          </w:tcPr>
          <w:p w14:paraId="121B56AB" w14:textId="77777777" w:rsidR="00833787" w:rsidRPr="00494D8C" w:rsidRDefault="00833787" w:rsidP="00B86868">
            <w:pPr>
              <w:pStyle w:val="StandardOCAshurst"/>
              <w:jc w:val="center"/>
              <w:rPr>
                <w:b/>
              </w:rPr>
            </w:pPr>
            <w:r w:rsidRPr="00494D8C">
              <w:rPr>
                <w:b/>
              </w:rPr>
              <w:t>The Bank of New York Mellon, London Branch</w:t>
            </w:r>
          </w:p>
          <w:p w14:paraId="3DD8A1DB" w14:textId="77777777" w:rsidR="00833787" w:rsidRPr="00494D8C" w:rsidRDefault="00833787" w:rsidP="00B86868">
            <w:pPr>
              <w:pStyle w:val="StandardOCAshurst"/>
              <w:jc w:val="center"/>
            </w:pPr>
            <w:r w:rsidRPr="00494D8C">
              <w:t>160 Queen Victoria Street</w:t>
            </w:r>
          </w:p>
          <w:p w14:paraId="3AC63031" w14:textId="77777777" w:rsidR="00833787" w:rsidRPr="00494D8C" w:rsidRDefault="00833787" w:rsidP="00B86868">
            <w:pPr>
              <w:pStyle w:val="StandardOCAshurst"/>
              <w:jc w:val="center"/>
            </w:pPr>
            <w:r w:rsidRPr="00494D8C">
              <w:t xml:space="preserve">London, </w:t>
            </w:r>
            <w:proofErr w:type="spellStart"/>
            <w:r w:rsidRPr="00494D8C">
              <w:t>EC4V</w:t>
            </w:r>
            <w:proofErr w:type="spellEnd"/>
            <w:r w:rsidRPr="00494D8C">
              <w:t xml:space="preserve"> </w:t>
            </w:r>
            <w:proofErr w:type="spellStart"/>
            <w:r w:rsidRPr="00494D8C">
              <w:t>4LA</w:t>
            </w:r>
            <w:proofErr w:type="spellEnd"/>
          </w:p>
          <w:p w14:paraId="60339546" w14:textId="77777777" w:rsidR="00833787" w:rsidRPr="00494D8C" w:rsidRDefault="00833787" w:rsidP="00B86868">
            <w:pPr>
              <w:pStyle w:val="StandardOCAshurst"/>
              <w:jc w:val="center"/>
            </w:pPr>
            <w:r w:rsidRPr="00494D8C">
              <w:t>United Kingdom</w:t>
            </w:r>
          </w:p>
          <w:p w14:paraId="35F29797" w14:textId="77777777" w:rsidR="00833787" w:rsidRPr="00494D8C" w:rsidRDefault="00833787" w:rsidP="00B86868">
            <w:pPr>
              <w:pStyle w:val="StandardOCAshurst"/>
              <w:jc w:val="center"/>
              <w:rPr>
                <w:b/>
              </w:rPr>
            </w:pPr>
          </w:p>
        </w:tc>
        <w:tc>
          <w:tcPr>
            <w:tcW w:w="2841" w:type="dxa"/>
          </w:tcPr>
          <w:p w14:paraId="36AE4AAE" w14:textId="77777777" w:rsidR="00833787" w:rsidRPr="00494D8C" w:rsidRDefault="00833787" w:rsidP="00B86868">
            <w:pPr>
              <w:pStyle w:val="StandardOCAshurst"/>
              <w:jc w:val="center"/>
              <w:rPr>
                <w:b/>
              </w:rPr>
            </w:pPr>
          </w:p>
        </w:tc>
        <w:tc>
          <w:tcPr>
            <w:tcW w:w="2841" w:type="dxa"/>
          </w:tcPr>
          <w:p w14:paraId="5773D258" w14:textId="77777777" w:rsidR="00833787" w:rsidRPr="00494D8C" w:rsidRDefault="00833787" w:rsidP="00B86868">
            <w:pPr>
              <w:pStyle w:val="StandardOCAshurst"/>
              <w:jc w:val="center"/>
              <w:rPr>
                <w:b/>
              </w:rPr>
            </w:pPr>
            <w:r w:rsidRPr="00494D8C">
              <w:rPr>
                <w:b/>
              </w:rPr>
              <w:t>The Bank of New York Mellon S.A./N.V., Luxembourg Branch</w:t>
            </w:r>
          </w:p>
          <w:p w14:paraId="115971B5" w14:textId="77777777" w:rsidR="00833787" w:rsidRPr="00494D8C" w:rsidRDefault="00833787" w:rsidP="00B86868">
            <w:pPr>
              <w:pStyle w:val="StandardOCAshurst"/>
              <w:jc w:val="center"/>
            </w:pPr>
            <w:r w:rsidRPr="00494D8C">
              <w:t>Vertigo Building</w:t>
            </w:r>
          </w:p>
          <w:p w14:paraId="2F6BEA45" w14:textId="77777777" w:rsidR="00833787" w:rsidRPr="00494D8C" w:rsidRDefault="00833787" w:rsidP="00B86868">
            <w:pPr>
              <w:pStyle w:val="StandardOCAshurst"/>
              <w:jc w:val="center"/>
            </w:pPr>
            <w:r w:rsidRPr="00494D8C">
              <w:t>Polaris</w:t>
            </w:r>
          </w:p>
          <w:p w14:paraId="5A0737C6" w14:textId="77777777" w:rsidR="00833787" w:rsidRPr="00494D8C" w:rsidRDefault="00833787" w:rsidP="00B86868">
            <w:pPr>
              <w:pStyle w:val="StandardOCAshurst"/>
              <w:jc w:val="center"/>
            </w:pPr>
            <w:r w:rsidRPr="00494D8C">
              <w:t>2-4 rue Eugène Ruppert</w:t>
            </w:r>
          </w:p>
          <w:p w14:paraId="61F3978C" w14:textId="77777777" w:rsidR="00833787" w:rsidRPr="00494D8C" w:rsidRDefault="00833787" w:rsidP="00B86868">
            <w:pPr>
              <w:pStyle w:val="StandardOCAshurst"/>
              <w:jc w:val="center"/>
            </w:pPr>
            <w:r w:rsidRPr="00494D8C">
              <w:t>L-2453</w:t>
            </w:r>
          </w:p>
          <w:p w14:paraId="5909AFEC" w14:textId="77777777" w:rsidR="00833787" w:rsidRPr="00494D8C" w:rsidRDefault="00833787" w:rsidP="00B86868">
            <w:pPr>
              <w:pStyle w:val="StandardOCAshurst"/>
              <w:jc w:val="center"/>
            </w:pPr>
            <w:r w:rsidRPr="00494D8C">
              <w:t>Luxembourg</w:t>
            </w:r>
          </w:p>
          <w:p w14:paraId="63AED74F" w14:textId="77777777" w:rsidR="00833787" w:rsidRPr="00494D8C" w:rsidRDefault="00833787" w:rsidP="00B86868">
            <w:pPr>
              <w:pStyle w:val="StandardOCAshurst"/>
              <w:jc w:val="center"/>
              <w:rPr>
                <w:b/>
              </w:rPr>
            </w:pPr>
          </w:p>
        </w:tc>
      </w:tr>
    </w:tbl>
    <w:p w14:paraId="630F72B4" w14:textId="77777777" w:rsidR="00833787" w:rsidRPr="00494D8C" w:rsidRDefault="00833787" w:rsidP="00833787">
      <w:pPr>
        <w:pStyle w:val="StandardOCAshurst"/>
      </w:pPr>
    </w:p>
    <w:p w14:paraId="62B04AF1" w14:textId="77777777" w:rsidR="00833787" w:rsidRPr="00494D8C" w:rsidRDefault="00833787" w:rsidP="00833787">
      <w:pPr>
        <w:pStyle w:val="StandardOCAshurst"/>
      </w:pPr>
    </w:p>
    <w:p w14:paraId="2037DA71" w14:textId="77777777" w:rsidR="00833787" w:rsidRPr="00494D8C" w:rsidRDefault="00833787" w:rsidP="00833787">
      <w:pPr>
        <w:pStyle w:val="NormalOCAshurst"/>
      </w:pPr>
    </w:p>
    <w:p w14:paraId="19C3E131" w14:textId="77777777" w:rsidR="00833787" w:rsidRPr="00494D8C" w:rsidRDefault="00833787" w:rsidP="00833787">
      <w:pPr>
        <w:pStyle w:val="NormalOCAshurst"/>
      </w:pPr>
    </w:p>
    <w:p w14:paraId="0AA2DADD" w14:textId="77777777" w:rsidR="00833787" w:rsidRPr="00494D8C" w:rsidRDefault="00833787" w:rsidP="00833787">
      <w:pPr>
        <w:pStyle w:val="NormalOCAshurs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5"/>
        <w:gridCol w:w="2775"/>
        <w:gridCol w:w="2766"/>
      </w:tblGrid>
      <w:tr w:rsidR="00833787" w:rsidRPr="00494D8C" w14:paraId="50454F46" w14:textId="77777777" w:rsidTr="00B86868">
        <w:tc>
          <w:tcPr>
            <w:tcW w:w="8306" w:type="dxa"/>
            <w:gridSpan w:val="3"/>
          </w:tcPr>
          <w:p w14:paraId="24B2FD65" w14:textId="77777777" w:rsidR="00833787" w:rsidRPr="00494D8C" w:rsidRDefault="00833787" w:rsidP="00B86868">
            <w:pPr>
              <w:pStyle w:val="StandardOCAshurst"/>
              <w:jc w:val="center"/>
              <w:rPr>
                <w:b/>
              </w:rPr>
            </w:pPr>
            <w:r w:rsidRPr="00494D8C">
              <w:rPr>
                <w:b/>
              </w:rPr>
              <w:lastRenderedPageBreak/>
              <w:t>Calculation Agents and Delivery Agents</w:t>
            </w:r>
          </w:p>
          <w:p w14:paraId="01AFCC82" w14:textId="77777777" w:rsidR="00833787" w:rsidRPr="00494D8C" w:rsidRDefault="00833787" w:rsidP="00B86868">
            <w:pPr>
              <w:pStyle w:val="StandardOCAshurst"/>
            </w:pPr>
          </w:p>
        </w:tc>
      </w:tr>
      <w:tr w:rsidR="00833787" w:rsidRPr="00494D8C" w14:paraId="3BFC0334" w14:textId="77777777" w:rsidTr="00B86868">
        <w:tc>
          <w:tcPr>
            <w:tcW w:w="2765" w:type="dxa"/>
          </w:tcPr>
          <w:p w14:paraId="0DFF052E" w14:textId="77777777" w:rsidR="00833787" w:rsidRPr="00494D8C" w:rsidRDefault="00833787" w:rsidP="00B86868">
            <w:pPr>
              <w:pStyle w:val="StandardOCAshurst"/>
              <w:jc w:val="center"/>
              <w:rPr>
                <w:b/>
              </w:rPr>
            </w:pPr>
            <w:r w:rsidRPr="00494D8C">
              <w:rPr>
                <w:b/>
              </w:rPr>
              <w:t>J.P. Morgan Securities plc</w:t>
            </w:r>
          </w:p>
          <w:p w14:paraId="0B766A8A" w14:textId="77777777" w:rsidR="00833787" w:rsidRPr="00494D8C" w:rsidRDefault="00833787" w:rsidP="00B86868">
            <w:pPr>
              <w:pStyle w:val="StandardOCAshurst"/>
              <w:jc w:val="center"/>
            </w:pPr>
            <w:r w:rsidRPr="00494D8C">
              <w:t>25 Bank Street</w:t>
            </w:r>
          </w:p>
          <w:p w14:paraId="58E1E5C8" w14:textId="77777777" w:rsidR="00833787" w:rsidRPr="00494D8C" w:rsidRDefault="00833787" w:rsidP="00B86868">
            <w:pPr>
              <w:pStyle w:val="StandardOCAshurst"/>
              <w:jc w:val="center"/>
            </w:pPr>
            <w:r w:rsidRPr="00494D8C">
              <w:t>Canary Wharf</w:t>
            </w:r>
          </w:p>
          <w:p w14:paraId="6D390597" w14:textId="77777777" w:rsidR="00833787" w:rsidRPr="00494D8C" w:rsidRDefault="00833787" w:rsidP="00B86868">
            <w:pPr>
              <w:pStyle w:val="StandardOCAshurst"/>
              <w:jc w:val="center"/>
            </w:pPr>
            <w:r w:rsidRPr="00494D8C">
              <w:t xml:space="preserve">London, </w:t>
            </w:r>
            <w:proofErr w:type="spellStart"/>
            <w:r w:rsidRPr="00494D8C">
              <w:t>E14</w:t>
            </w:r>
            <w:proofErr w:type="spellEnd"/>
            <w:r w:rsidRPr="00494D8C">
              <w:t xml:space="preserve"> </w:t>
            </w:r>
            <w:proofErr w:type="spellStart"/>
            <w:r w:rsidRPr="00494D8C">
              <w:t>5JP</w:t>
            </w:r>
            <w:proofErr w:type="spellEnd"/>
          </w:p>
          <w:p w14:paraId="3F986D30" w14:textId="77777777" w:rsidR="00833787" w:rsidRPr="00494D8C" w:rsidRDefault="00833787" w:rsidP="00B86868">
            <w:pPr>
              <w:pStyle w:val="StandardOCAshurst"/>
              <w:jc w:val="center"/>
            </w:pPr>
            <w:r w:rsidRPr="00494D8C">
              <w:t>United Kingdom</w:t>
            </w:r>
          </w:p>
          <w:p w14:paraId="55A1A3AD" w14:textId="77777777" w:rsidR="00833787" w:rsidRPr="00494D8C" w:rsidRDefault="00833787" w:rsidP="00B86868">
            <w:pPr>
              <w:pStyle w:val="StandardOCAshurst"/>
            </w:pPr>
          </w:p>
        </w:tc>
        <w:tc>
          <w:tcPr>
            <w:tcW w:w="2775" w:type="dxa"/>
          </w:tcPr>
          <w:p w14:paraId="35110A80" w14:textId="77777777" w:rsidR="00833787" w:rsidRPr="00494D8C" w:rsidRDefault="00833787" w:rsidP="00B86868">
            <w:pPr>
              <w:pStyle w:val="StandardOCAshurst"/>
              <w:jc w:val="center"/>
              <w:rPr>
                <w:b/>
                <w:bCs/>
                <w:lang w:val="de-DE"/>
              </w:rPr>
            </w:pPr>
            <w:proofErr w:type="spellStart"/>
            <w:r w:rsidRPr="00494D8C">
              <w:rPr>
                <w:b/>
                <w:bCs/>
                <w:lang w:val="de-DE"/>
              </w:rPr>
              <w:t>J.P</w:t>
            </w:r>
            <w:proofErr w:type="spellEnd"/>
            <w:r w:rsidRPr="00494D8C">
              <w:rPr>
                <w:b/>
                <w:bCs/>
                <w:lang w:val="de-DE"/>
              </w:rPr>
              <w:t>. Morgan SE</w:t>
            </w:r>
          </w:p>
          <w:p w14:paraId="69CCA47E" w14:textId="77777777" w:rsidR="00833787" w:rsidRPr="00494D8C" w:rsidRDefault="00833787" w:rsidP="00B86868">
            <w:pPr>
              <w:pStyle w:val="StandardOCAshurst"/>
              <w:jc w:val="center"/>
              <w:rPr>
                <w:lang w:val="de-DE"/>
              </w:rPr>
            </w:pPr>
            <w:proofErr w:type="spellStart"/>
            <w:r w:rsidRPr="00494D8C">
              <w:rPr>
                <w:lang w:val="de-DE"/>
              </w:rPr>
              <w:t>TaunusTurm</w:t>
            </w:r>
            <w:proofErr w:type="spellEnd"/>
          </w:p>
          <w:p w14:paraId="6ACF675D" w14:textId="77777777" w:rsidR="00833787" w:rsidRPr="00494D8C" w:rsidRDefault="00833787" w:rsidP="00B86868">
            <w:pPr>
              <w:pStyle w:val="StandardOCAshurst"/>
              <w:jc w:val="center"/>
              <w:rPr>
                <w:lang w:val="de-DE"/>
              </w:rPr>
            </w:pPr>
            <w:r w:rsidRPr="00494D8C">
              <w:rPr>
                <w:lang w:val="de-DE"/>
              </w:rPr>
              <w:t>Taunustor 1</w:t>
            </w:r>
          </w:p>
          <w:p w14:paraId="31BD42B6" w14:textId="77777777" w:rsidR="00833787" w:rsidRPr="00494D8C" w:rsidRDefault="00833787" w:rsidP="00B86868">
            <w:pPr>
              <w:pStyle w:val="StandardOCAshurst"/>
              <w:jc w:val="center"/>
              <w:rPr>
                <w:lang w:val="de-DE"/>
              </w:rPr>
            </w:pPr>
            <w:r w:rsidRPr="00494D8C">
              <w:rPr>
                <w:lang w:val="de-DE"/>
              </w:rPr>
              <w:t>60310 Frankfurt am Main</w:t>
            </w:r>
          </w:p>
          <w:p w14:paraId="44B5178F" w14:textId="77777777" w:rsidR="00833787" w:rsidRPr="00494D8C" w:rsidRDefault="00833787" w:rsidP="00B86868">
            <w:pPr>
              <w:pStyle w:val="StandardOCAshurst"/>
              <w:jc w:val="center"/>
            </w:pPr>
            <w:r w:rsidRPr="00494D8C">
              <w:t>Germany</w:t>
            </w:r>
          </w:p>
        </w:tc>
        <w:tc>
          <w:tcPr>
            <w:tcW w:w="2766" w:type="dxa"/>
          </w:tcPr>
          <w:p w14:paraId="7255A1D0" w14:textId="77777777" w:rsidR="00833787" w:rsidRPr="00494D8C" w:rsidRDefault="00833787" w:rsidP="00B86868">
            <w:pPr>
              <w:pStyle w:val="StandardOCAshurst"/>
              <w:jc w:val="center"/>
              <w:rPr>
                <w:b/>
              </w:rPr>
            </w:pPr>
            <w:r w:rsidRPr="00494D8C">
              <w:rPr>
                <w:b/>
              </w:rPr>
              <w:t>J.P. Morgan Securities LLC</w:t>
            </w:r>
          </w:p>
          <w:p w14:paraId="5A2D92BC" w14:textId="77777777" w:rsidR="00833787" w:rsidRPr="00494D8C" w:rsidRDefault="00833787" w:rsidP="00B86868">
            <w:pPr>
              <w:pStyle w:val="StandardOCAshurst"/>
              <w:jc w:val="center"/>
            </w:pPr>
            <w:r w:rsidRPr="00494D8C">
              <w:t>383 Madison Avenue</w:t>
            </w:r>
          </w:p>
          <w:p w14:paraId="21631EF9" w14:textId="77777777" w:rsidR="00833787" w:rsidRPr="00494D8C" w:rsidRDefault="00833787" w:rsidP="00B86868">
            <w:pPr>
              <w:pStyle w:val="StandardOCAshurst"/>
              <w:jc w:val="center"/>
            </w:pPr>
            <w:r w:rsidRPr="00494D8C">
              <w:t>5th Floor</w:t>
            </w:r>
          </w:p>
          <w:p w14:paraId="72A806C7" w14:textId="77777777" w:rsidR="00833787" w:rsidRPr="00494D8C" w:rsidRDefault="00833787" w:rsidP="00B86868">
            <w:pPr>
              <w:pStyle w:val="StandardOCAshurst"/>
              <w:jc w:val="center"/>
            </w:pPr>
            <w:r w:rsidRPr="00494D8C">
              <w:t>New York, New York 10179</w:t>
            </w:r>
          </w:p>
          <w:p w14:paraId="3318F5B5" w14:textId="77777777" w:rsidR="00833787" w:rsidRPr="00494D8C" w:rsidRDefault="00833787" w:rsidP="00B86868">
            <w:pPr>
              <w:pStyle w:val="StandardOCAshurst"/>
              <w:jc w:val="center"/>
            </w:pPr>
            <w:r w:rsidRPr="00494D8C">
              <w:t>United States of America</w:t>
            </w:r>
          </w:p>
          <w:p w14:paraId="5F96EC81" w14:textId="77777777" w:rsidR="00833787" w:rsidRPr="00494D8C" w:rsidRDefault="00833787" w:rsidP="00B86868">
            <w:pPr>
              <w:pStyle w:val="StandardOCAshurst"/>
            </w:pPr>
          </w:p>
        </w:tc>
      </w:tr>
      <w:tr w:rsidR="00833787" w:rsidRPr="00494D8C" w14:paraId="0E50648D" w14:textId="77777777" w:rsidTr="00B86868">
        <w:tc>
          <w:tcPr>
            <w:tcW w:w="2765" w:type="dxa"/>
          </w:tcPr>
          <w:p w14:paraId="4E13C2C6" w14:textId="77777777" w:rsidR="00833787" w:rsidRPr="00494D8C" w:rsidRDefault="00833787" w:rsidP="00B86868">
            <w:pPr>
              <w:pStyle w:val="StandardOCAshurst"/>
              <w:jc w:val="center"/>
              <w:rPr>
                <w:b/>
              </w:rPr>
            </w:pPr>
            <w:r w:rsidRPr="00494D8C">
              <w:rPr>
                <w:b/>
              </w:rPr>
              <w:t>Luxembourg Listing Agent</w:t>
            </w:r>
          </w:p>
          <w:p w14:paraId="6723FA72" w14:textId="77777777" w:rsidR="00833787" w:rsidRPr="00494D8C" w:rsidRDefault="00833787" w:rsidP="00B86868">
            <w:pPr>
              <w:pStyle w:val="StandardOCAshurst"/>
              <w:jc w:val="center"/>
            </w:pPr>
          </w:p>
          <w:p w14:paraId="6A4BE36B" w14:textId="77777777" w:rsidR="00833787" w:rsidRPr="00494D8C" w:rsidRDefault="00833787" w:rsidP="00B86868">
            <w:pPr>
              <w:pStyle w:val="StandardOCAshurst"/>
              <w:jc w:val="center"/>
            </w:pPr>
            <w:r w:rsidRPr="00494D8C">
              <w:t>The Bank of New York Mellon S.A./N.V. Luxembourg Branch,</w:t>
            </w:r>
          </w:p>
          <w:p w14:paraId="7C60714F" w14:textId="77777777" w:rsidR="00833787" w:rsidRPr="00494D8C" w:rsidRDefault="00833787" w:rsidP="00B86868">
            <w:pPr>
              <w:pStyle w:val="StandardOCAshurst"/>
              <w:jc w:val="center"/>
            </w:pPr>
            <w:r w:rsidRPr="00494D8C">
              <w:t>Vertigo Building</w:t>
            </w:r>
          </w:p>
          <w:p w14:paraId="1AE7E40E" w14:textId="77777777" w:rsidR="00833787" w:rsidRPr="00494D8C" w:rsidRDefault="00833787" w:rsidP="00B86868">
            <w:pPr>
              <w:pStyle w:val="StandardOCAshurst"/>
              <w:jc w:val="center"/>
            </w:pPr>
            <w:r w:rsidRPr="00494D8C">
              <w:t>Polaris</w:t>
            </w:r>
          </w:p>
          <w:p w14:paraId="4D24A668" w14:textId="77777777" w:rsidR="00833787" w:rsidRPr="00494D8C" w:rsidRDefault="00833787" w:rsidP="00B86868">
            <w:pPr>
              <w:pStyle w:val="StandardOCAshurst"/>
              <w:jc w:val="center"/>
            </w:pPr>
            <w:r w:rsidRPr="00494D8C">
              <w:t>2-4 rue Eugène Ruppert</w:t>
            </w:r>
          </w:p>
          <w:p w14:paraId="1210BBE6" w14:textId="77777777" w:rsidR="00833787" w:rsidRPr="00494D8C" w:rsidRDefault="00833787" w:rsidP="00B86868">
            <w:pPr>
              <w:pStyle w:val="StandardOCAshurst"/>
              <w:jc w:val="center"/>
            </w:pPr>
            <w:r w:rsidRPr="00494D8C">
              <w:t>L-2453</w:t>
            </w:r>
          </w:p>
          <w:p w14:paraId="27053169" w14:textId="77777777" w:rsidR="00833787" w:rsidRPr="00494D8C" w:rsidRDefault="00833787" w:rsidP="00B86868">
            <w:pPr>
              <w:pStyle w:val="StandardOCAshurst"/>
              <w:jc w:val="center"/>
            </w:pPr>
            <w:r w:rsidRPr="00494D8C">
              <w:t>Luxembourg</w:t>
            </w:r>
          </w:p>
          <w:p w14:paraId="0D454E3B" w14:textId="77777777" w:rsidR="00833787" w:rsidRPr="00494D8C" w:rsidRDefault="00833787" w:rsidP="00B86868">
            <w:pPr>
              <w:pStyle w:val="StandardOCAshurst"/>
              <w:jc w:val="center"/>
              <w:rPr>
                <w:b/>
              </w:rPr>
            </w:pPr>
          </w:p>
        </w:tc>
        <w:tc>
          <w:tcPr>
            <w:tcW w:w="2775" w:type="dxa"/>
          </w:tcPr>
          <w:p w14:paraId="36D6F30B" w14:textId="77777777" w:rsidR="00833787" w:rsidRPr="00494D8C" w:rsidRDefault="00833787" w:rsidP="00B86868">
            <w:pPr>
              <w:pStyle w:val="StandardOCAshurst"/>
              <w:jc w:val="center"/>
            </w:pPr>
          </w:p>
        </w:tc>
        <w:tc>
          <w:tcPr>
            <w:tcW w:w="2766" w:type="dxa"/>
          </w:tcPr>
          <w:p w14:paraId="6F36BD04" w14:textId="77777777" w:rsidR="00833787" w:rsidRPr="00494D8C" w:rsidRDefault="00833787" w:rsidP="00B86868">
            <w:pPr>
              <w:pStyle w:val="StandardOCAshurst"/>
              <w:jc w:val="center"/>
              <w:rPr>
                <w:b/>
              </w:rPr>
            </w:pPr>
            <w:r w:rsidRPr="00494D8C">
              <w:rPr>
                <w:b/>
              </w:rPr>
              <w:t>Irish Listing Agent</w:t>
            </w:r>
          </w:p>
          <w:p w14:paraId="21FE425C" w14:textId="77777777" w:rsidR="00833787" w:rsidRPr="00494D8C" w:rsidRDefault="00833787" w:rsidP="00B86868">
            <w:pPr>
              <w:pStyle w:val="StandardOCAshurst"/>
              <w:jc w:val="center"/>
            </w:pPr>
          </w:p>
          <w:p w14:paraId="3244794C" w14:textId="77777777" w:rsidR="00833787" w:rsidRPr="00494D8C" w:rsidRDefault="00833787" w:rsidP="00B86868">
            <w:pPr>
              <w:pStyle w:val="StandardOCAshurst"/>
              <w:jc w:val="center"/>
            </w:pPr>
            <w:r w:rsidRPr="00494D8C">
              <w:t>Bank of New York Mellon S.A./N.V.</w:t>
            </w:r>
          </w:p>
          <w:p w14:paraId="07EE2318" w14:textId="77777777" w:rsidR="00833787" w:rsidRPr="00494D8C" w:rsidRDefault="00833787" w:rsidP="00B86868">
            <w:pPr>
              <w:pStyle w:val="StandardOCAshurst"/>
              <w:jc w:val="center"/>
            </w:pPr>
            <w:r w:rsidRPr="00494D8C">
              <w:t>Dublin Branch</w:t>
            </w:r>
          </w:p>
          <w:p w14:paraId="55C4F1F6" w14:textId="77777777" w:rsidR="00833787" w:rsidRPr="00494D8C" w:rsidRDefault="00833787" w:rsidP="00B86868">
            <w:pPr>
              <w:pStyle w:val="StandardOCAshurst"/>
              <w:jc w:val="center"/>
            </w:pPr>
            <w:r w:rsidRPr="00494D8C">
              <w:t>Riverside 2,</w:t>
            </w:r>
          </w:p>
          <w:p w14:paraId="7F834494" w14:textId="77777777" w:rsidR="00833787" w:rsidRPr="00494D8C" w:rsidRDefault="00833787" w:rsidP="00B86868">
            <w:pPr>
              <w:pStyle w:val="StandardOCAshurst"/>
              <w:jc w:val="center"/>
            </w:pPr>
            <w:r w:rsidRPr="00494D8C">
              <w:t>Sir John Rogerson's Quay,</w:t>
            </w:r>
          </w:p>
          <w:p w14:paraId="69EAD647" w14:textId="77777777" w:rsidR="00833787" w:rsidRPr="00494D8C" w:rsidRDefault="00833787" w:rsidP="00B86868">
            <w:pPr>
              <w:pStyle w:val="StandardOCAshurst"/>
              <w:jc w:val="center"/>
            </w:pPr>
            <w:r w:rsidRPr="00494D8C">
              <w:t>Grand Canal Dock,</w:t>
            </w:r>
          </w:p>
          <w:p w14:paraId="712B4D03" w14:textId="77777777" w:rsidR="00833787" w:rsidRPr="00494D8C" w:rsidRDefault="00833787" w:rsidP="00B86868">
            <w:pPr>
              <w:pStyle w:val="StandardOCAshurst"/>
              <w:jc w:val="center"/>
            </w:pPr>
            <w:r w:rsidRPr="00494D8C">
              <w:t>Dublin 2</w:t>
            </w:r>
          </w:p>
          <w:p w14:paraId="25366986" w14:textId="77777777" w:rsidR="00833787" w:rsidRPr="00494D8C" w:rsidRDefault="00833787" w:rsidP="00B86868">
            <w:pPr>
              <w:pStyle w:val="StandardOCAshurst"/>
              <w:jc w:val="center"/>
            </w:pPr>
            <w:r w:rsidRPr="00494D8C">
              <w:t>Ireland</w:t>
            </w:r>
          </w:p>
          <w:p w14:paraId="337AEFDB" w14:textId="77777777" w:rsidR="00833787" w:rsidRPr="00494D8C" w:rsidRDefault="00833787" w:rsidP="00B86868">
            <w:pPr>
              <w:pStyle w:val="StandardOCAshurst"/>
              <w:jc w:val="center"/>
              <w:rPr>
                <w:b/>
              </w:rPr>
            </w:pPr>
          </w:p>
        </w:tc>
      </w:tr>
      <w:tr w:rsidR="00833787" w:rsidRPr="00494D8C" w14:paraId="7837B6B6" w14:textId="77777777" w:rsidTr="00B86868">
        <w:tc>
          <w:tcPr>
            <w:tcW w:w="2765" w:type="dxa"/>
          </w:tcPr>
          <w:p w14:paraId="3D2E2D58" w14:textId="77777777" w:rsidR="00833787" w:rsidRPr="00494D8C" w:rsidRDefault="00833787" w:rsidP="00B86868">
            <w:pPr>
              <w:pStyle w:val="StandardOCAshurst"/>
              <w:jc w:val="center"/>
              <w:rPr>
                <w:b/>
              </w:rPr>
            </w:pPr>
          </w:p>
        </w:tc>
        <w:tc>
          <w:tcPr>
            <w:tcW w:w="2775" w:type="dxa"/>
          </w:tcPr>
          <w:p w14:paraId="2F8E64AF" w14:textId="77777777" w:rsidR="00833787" w:rsidRPr="00494D8C" w:rsidRDefault="00833787" w:rsidP="00B86868">
            <w:pPr>
              <w:pStyle w:val="StandardOCAshurst"/>
              <w:jc w:val="center"/>
              <w:rPr>
                <w:b/>
              </w:rPr>
            </w:pPr>
            <w:r w:rsidRPr="00494D8C">
              <w:rPr>
                <w:b/>
              </w:rPr>
              <w:t>Auditors</w:t>
            </w:r>
          </w:p>
          <w:p w14:paraId="04B94DA4" w14:textId="77777777" w:rsidR="00833787" w:rsidRPr="00494D8C" w:rsidRDefault="00833787" w:rsidP="00B86868">
            <w:pPr>
              <w:pStyle w:val="StandardOCAshurst"/>
              <w:jc w:val="center"/>
            </w:pPr>
          </w:p>
        </w:tc>
        <w:tc>
          <w:tcPr>
            <w:tcW w:w="2766" w:type="dxa"/>
          </w:tcPr>
          <w:p w14:paraId="53E44BAB" w14:textId="77777777" w:rsidR="00833787" w:rsidRPr="00494D8C" w:rsidRDefault="00833787" w:rsidP="00B86868">
            <w:pPr>
              <w:pStyle w:val="StandardOCAshurst"/>
              <w:jc w:val="center"/>
              <w:rPr>
                <w:b/>
              </w:rPr>
            </w:pPr>
          </w:p>
        </w:tc>
      </w:tr>
      <w:tr w:rsidR="00833787" w:rsidRPr="00494D8C" w14:paraId="45FF018E" w14:textId="77777777" w:rsidTr="00B86868">
        <w:tc>
          <w:tcPr>
            <w:tcW w:w="2765" w:type="dxa"/>
          </w:tcPr>
          <w:p w14:paraId="0C694AEC" w14:textId="77777777" w:rsidR="00833787" w:rsidRPr="00494D8C" w:rsidRDefault="00833787" w:rsidP="00B86868">
            <w:pPr>
              <w:pStyle w:val="StandardOCAshurst"/>
              <w:jc w:val="center"/>
              <w:rPr>
                <w:b/>
              </w:rPr>
            </w:pPr>
            <w:r w:rsidRPr="00494D8C">
              <w:rPr>
                <w:b/>
              </w:rPr>
              <w:t>Independent Auditors of JPMorgan Chase Bank, N.A.</w:t>
            </w:r>
          </w:p>
        </w:tc>
        <w:tc>
          <w:tcPr>
            <w:tcW w:w="2775" w:type="dxa"/>
          </w:tcPr>
          <w:p w14:paraId="3E6BFB4E" w14:textId="77777777" w:rsidR="00833787" w:rsidRPr="00494D8C" w:rsidRDefault="00833787" w:rsidP="00B86868">
            <w:pPr>
              <w:pStyle w:val="StandardOCAshurst"/>
              <w:jc w:val="center"/>
              <w:rPr>
                <w:b/>
              </w:rPr>
            </w:pPr>
            <w:r w:rsidRPr="00494D8C">
              <w:rPr>
                <w:b/>
              </w:rPr>
              <w:t xml:space="preserve">Independent Auditors of </w:t>
            </w:r>
            <w:proofErr w:type="spellStart"/>
            <w:r w:rsidRPr="00494D8C">
              <w:rPr>
                <w:b/>
              </w:rPr>
              <w:t>JPMSP</w:t>
            </w:r>
            <w:proofErr w:type="spellEnd"/>
          </w:p>
        </w:tc>
        <w:tc>
          <w:tcPr>
            <w:tcW w:w="2766" w:type="dxa"/>
          </w:tcPr>
          <w:p w14:paraId="4F94A252" w14:textId="77777777" w:rsidR="00833787" w:rsidRPr="00494D8C" w:rsidRDefault="00833787" w:rsidP="00B86868">
            <w:pPr>
              <w:pStyle w:val="StandardOCAshurst"/>
              <w:jc w:val="center"/>
              <w:rPr>
                <w:b/>
              </w:rPr>
            </w:pPr>
            <w:r w:rsidRPr="00494D8C">
              <w:rPr>
                <w:b/>
              </w:rPr>
              <w:t>Independent Registered Public Accounting Firm of JPMorgan Chase &amp; Co.</w:t>
            </w:r>
          </w:p>
          <w:p w14:paraId="14240C78" w14:textId="77777777" w:rsidR="00833787" w:rsidRPr="00494D8C" w:rsidRDefault="00833787" w:rsidP="00B86868">
            <w:pPr>
              <w:pStyle w:val="StandardOCAshurst"/>
              <w:jc w:val="center"/>
              <w:rPr>
                <w:b/>
              </w:rPr>
            </w:pPr>
          </w:p>
        </w:tc>
      </w:tr>
      <w:tr w:rsidR="00833787" w:rsidRPr="00494D8C" w14:paraId="05DBBFAF" w14:textId="77777777" w:rsidTr="00B86868">
        <w:tc>
          <w:tcPr>
            <w:tcW w:w="2765" w:type="dxa"/>
          </w:tcPr>
          <w:p w14:paraId="62EB73A2" w14:textId="7A457C49" w:rsidR="00833787" w:rsidRPr="00494D8C" w:rsidRDefault="00833787" w:rsidP="00B86868">
            <w:pPr>
              <w:pStyle w:val="StandardOCAshurst"/>
              <w:jc w:val="center"/>
              <w:rPr>
                <w:b/>
              </w:rPr>
            </w:pPr>
            <w:r w:rsidRPr="00494D8C">
              <w:rPr>
                <w:b/>
              </w:rPr>
              <w:t>Price</w:t>
            </w:r>
            <w:r w:rsidR="00BD6159" w:rsidRPr="00494D8C">
              <w:rPr>
                <w:b/>
              </w:rPr>
              <w:t>w</w:t>
            </w:r>
            <w:r w:rsidRPr="00494D8C">
              <w:rPr>
                <w:b/>
              </w:rPr>
              <w:t>aterhouseCoopers LLP</w:t>
            </w:r>
          </w:p>
          <w:p w14:paraId="7DBFFFE4" w14:textId="77777777" w:rsidR="00833787" w:rsidRPr="00494D8C" w:rsidRDefault="00833787" w:rsidP="00B86868">
            <w:pPr>
              <w:pStyle w:val="StandardOCAshurst"/>
              <w:jc w:val="center"/>
            </w:pPr>
            <w:r w:rsidRPr="00494D8C">
              <w:t>300 Madison Avenue</w:t>
            </w:r>
          </w:p>
          <w:p w14:paraId="49C8B933" w14:textId="77777777" w:rsidR="00833787" w:rsidRPr="00494D8C" w:rsidRDefault="00833787" w:rsidP="00B86868">
            <w:pPr>
              <w:pStyle w:val="StandardOCAshurst"/>
              <w:jc w:val="center"/>
            </w:pPr>
            <w:r w:rsidRPr="00494D8C">
              <w:t>New York, New York 10017</w:t>
            </w:r>
          </w:p>
          <w:p w14:paraId="3475BE9B" w14:textId="77777777" w:rsidR="00833787" w:rsidRPr="00494D8C" w:rsidRDefault="00833787" w:rsidP="00B86868">
            <w:pPr>
              <w:pStyle w:val="StandardOCAshurst"/>
              <w:jc w:val="center"/>
            </w:pPr>
            <w:r w:rsidRPr="00494D8C">
              <w:t>United States of America</w:t>
            </w:r>
          </w:p>
          <w:p w14:paraId="241E1B6C" w14:textId="77777777" w:rsidR="00833787" w:rsidRPr="00494D8C" w:rsidRDefault="00833787" w:rsidP="00B86868">
            <w:pPr>
              <w:pStyle w:val="StandardOCAshurst"/>
              <w:jc w:val="center"/>
              <w:rPr>
                <w:b/>
              </w:rPr>
            </w:pPr>
          </w:p>
        </w:tc>
        <w:tc>
          <w:tcPr>
            <w:tcW w:w="2775" w:type="dxa"/>
          </w:tcPr>
          <w:p w14:paraId="320ED347" w14:textId="4F78AF44" w:rsidR="00833787" w:rsidRPr="00494D8C" w:rsidRDefault="00833787" w:rsidP="00B86868">
            <w:pPr>
              <w:pStyle w:val="StandardOCAshurst"/>
              <w:jc w:val="center"/>
              <w:rPr>
                <w:b/>
              </w:rPr>
            </w:pPr>
            <w:r w:rsidRPr="00494D8C">
              <w:rPr>
                <w:b/>
              </w:rPr>
              <w:t>Price</w:t>
            </w:r>
            <w:r w:rsidR="00BD6159" w:rsidRPr="00494D8C">
              <w:rPr>
                <w:b/>
              </w:rPr>
              <w:t>w</w:t>
            </w:r>
            <w:r w:rsidRPr="00494D8C">
              <w:rPr>
                <w:b/>
              </w:rPr>
              <w:t>aterhouseCoopers Accountants N.V.</w:t>
            </w:r>
          </w:p>
          <w:p w14:paraId="7DCC2AD9" w14:textId="77777777" w:rsidR="00833787" w:rsidRPr="00494D8C" w:rsidRDefault="00833787" w:rsidP="00B86868">
            <w:pPr>
              <w:pStyle w:val="StandardOCAshurst"/>
              <w:jc w:val="center"/>
              <w:rPr>
                <w:bCs/>
              </w:rPr>
            </w:pPr>
            <w:r w:rsidRPr="00494D8C">
              <w:rPr>
                <w:bCs/>
              </w:rPr>
              <w:t xml:space="preserve">Thomas R. </w:t>
            </w:r>
            <w:proofErr w:type="spellStart"/>
            <w:r w:rsidRPr="00494D8C">
              <w:rPr>
                <w:bCs/>
              </w:rPr>
              <w:t>Malthusstraat</w:t>
            </w:r>
            <w:proofErr w:type="spellEnd"/>
            <w:r w:rsidRPr="00494D8C">
              <w:rPr>
                <w:bCs/>
              </w:rPr>
              <w:t xml:space="preserve"> 5</w:t>
            </w:r>
          </w:p>
          <w:p w14:paraId="1C94C1CB" w14:textId="77777777" w:rsidR="00833787" w:rsidRPr="00494D8C" w:rsidRDefault="00833787" w:rsidP="00B86868">
            <w:pPr>
              <w:pStyle w:val="StandardOCAshurst"/>
              <w:jc w:val="center"/>
              <w:rPr>
                <w:bCs/>
              </w:rPr>
            </w:pPr>
            <w:r w:rsidRPr="00494D8C">
              <w:rPr>
                <w:bCs/>
              </w:rPr>
              <w:t>1066 JR Amsterdam</w:t>
            </w:r>
          </w:p>
          <w:p w14:paraId="11DB3F12" w14:textId="77777777" w:rsidR="00833787" w:rsidRPr="00494D8C" w:rsidRDefault="00833787" w:rsidP="00B86868">
            <w:pPr>
              <w:pStyle w:val="StandardOCAshurst"/>
              <w:spacing w:after="240"/>
              <w:jc w:val="center"/>
              <w:rPr>
                <w:b/>
              </w:rPr>
            </w:pPr>
            <w:r w:rsidRPr="00494D8C">
              <w:rPr>
                <w:bCs/>
              </w:rPr>
              <w:t>The Netherlands</w:t>
            </w:r>
          </w:p>
        </w:tc>
        <w:tc>
          <w:tcPr>
            <w:tcW w:w="2766" w:type="dxa"/>
          </w:tcPr>
          <w:p w14:paraId="230F6377" w14:textId="700A36FB" w:rsidR="00833787" w:rsidRPr="00494D8C" w:rsidRDefault="00833787" w:rsidP="00B86868">
            <w:pPr>
              <w:pStyle w:val="StandardOCAshurst"/>
              <w:jc w:val="center"/>
              <w:rPr>
                <w:b/>
              </w:rPr>
            </w:pPr>
            <w:r w:rsidRPr="00494D8C">
              <w:rPr>
                <w:b/>
              </w:rPr>
              <w:t>Price</w:t>
            </w:r>
            <w:r w:rsidR="00BD6159" w:rsidRPr="00494D8C">
              <w:rPr>
                <w:b/>
              </w:rPr>
              <w:t>w</w:t>
            </w:r>
            <w:r w:rsidRPr="00494D8C">
              <w:rPr>
                <w:b/>
              </w:rPr>
              <w:t>aterhouseCoopers LLP</w:t>
            </w:r>
          </w:p>
          <w:p w14:paraId="2067A27A" w14:textId="77777777" w:rsidR="00833787" w:rsidRPr="00494D8C" w:rsidRDefault="00833787" w:rsidP="00B86868">
            <w:pPr>
              <w:pStyle w:val="StandardOCAshurst"/>
              <w:jc w:val="center"/>
            </w:pPr>
            <w:r w:rsidRPr="00494D8C">
              <w:t>300 Madison Avenue</w:t>
            </w:r>
          </w:p>
          <w:p w14:paraId="42D0D86B" w14:textId="77777777" w:rsidR="00833787" w:rsidRPr="00494D8C" w:rsidRDefault="00833787" w:rsidP="00B86868">
            <w:pPr>
              <w:pStyle w:val="StandardOCAshurst"/>
              <w:jc w:val="center"/>
            </w:pPr>
            <w:r w:rsidRPr="00494D8C">
              <w:t>New York, New York 10017</w:t>
            </w:r>
          </w:p>
          <w:p w14:paraId="610B6041" w14:textId="77777777" w:rsidR="00833787" w:rsidRPr="00494D8C" w:rsidRDefault="00833787" w:rsidP="00B86868">
            <w:pPr>
              <w:pStyle w:val="StandardOCAshurst"/>
              <w:jc w:val="center"/>
            </w:pPr>
            <w:r w:rsidRPr="00494D8C">
              <w:t>United States of America</w:t>
            </w:r>
          </w:p>
          <w:p w14:paraId="0C788039" w14:textId="77777777" w:rsidR="00833787" w:rsidRPr="00494D8C" w:rsidRDefault="00833787" w:rsidP="00B86868">
            <w:pPr>
              <w:pStyle w:val="StandardOCAshurst"/>
              <w:jc w:val="center"/>
              <w:rPr>
                <w:b/>
              </w:rPr>
            </w:pPr>
          </w:p>
        </w:tc>
      </w:tr>
      <w:tr w:rsidR="00833787" w:rsidRPr="00494D8C" w14:paraId="1C304F74" w14:textId="77777777" w:rsidTr="00B86868">
        <w:tc>
          <w:tcPr>
            <w:tcW w:w="2765" w:type="dxa"/>
          </w:tcPr>
          <w:p w14:paraId="5A556029" w14:textId="77777777" w:rsidR="00833787" w:rsidRPr="00494D8C" w:rsidRDefault="00833787" w:rsidP="00B86868">
            <w:pPr>
              <w:pStyle w:val="StandardOCAshurst"/>
              <w:jc w:val="center"/>
              <w:rPr>
                <w:b/>
              </w:rPr>
            </w:pPr>
          </w:p>
        </w:tc>
        <w:tc>
          <w:tcPr>
            <w:tcW w:w="2775" w:type="dxa"/>
          </w:tcPr>
          <w:p w14:paraId="1856D898" w14:textId="77777777" w:rsidR="00833787" w:rsidRPr="00494D8C" w:rsidRDefault="00833787" w:rsidP="00B86868">
            <w:pPr>
              <w:pStyle w:val="StandardOCAshurst"/>
              <w:jc w:val="center"/>
              <w:rPr>
                <w:b/>
              </w:rPr>
            </w:pPr>
            <w:r w:rsidRPr="00494D8C">
              <w:rPr>
                <w:b/>
              </w:rPr>
              <w:t>Independent Auditors of JPMorgan Chase Financial Company LLC</w:t>
            </w:r>
          </w:p>
        </w:tc>
        <w:tc>
          <w:tcPr>
            <w:tcW w:w="2766" w:type="dxa"/>
          </w:tcPr>
          <w:p w14:paraId="56BFEE93" w14:textId="77777777" w:rsidR="00833787" w:rsidRPr="00494D8C" w:rsidRDefault="00833787" w:rsidP="00B86868">
            <w:pPr>
              <w:pStyle w:val="StandardOCAshurst"/>
              <w:jc w:val="center"/>
              <w:rPr>
                <w:b/>
              </w:rPr>
            </w:pPr>
          </w:p>
        </w:tc>
      </w:tr>
      <w:tr w:rsidR="00833787" w:rsidRPr="00494D8C" w14:paraId="2375377E" w14:textId="77777777" w:rsidTr="00B86868">
        <w:tc>
          <w:tcPr>
            <w:tcW w:w="2765" w:type="dxa"/>
          </w:tcPr>
          <w:p w14:paraId="0464C4A6" w14:textId="77777777" w:rsidR="00833787" w:rsidRPr="00494D8C" w:rsidRDefault="00833787" w:rsidP="00B86868">
            <w:pPr>
              <w:pStyle w:val="StandardOCAshurst"/>
              <w:jc w:val="center"/>
              <w:rPr>
                <w:b/>
              </w:rPr>
            </w:pPr>
          </w:p>
        </w:tc>
        <w:tc>
          <w:tcPr>
            <w:tcW w:w="2775" w:type="dxa"/>
          </w:tcPr>
          <w:p w14:paraId="28D8CDED" w14:textId="4B1C7D3B" w:rsidR="00833787" w:rsidRPr="00494D8C" w:rsidRDefault="00833787" w:rsidP="00B86868">
            <w:pPr>
              <w:pStyle w:val="StandardOCAshurst"/>
              <w:jc w:val="center"/>
              <w:rPr>
                <w:b/>
              </w:rPr>
            </w:pPr>
            <w:r w:rsidRPr="00494D8C">
              <w:rPr>
                <w:b/>
              </w:rPr>
              <w:t>Price</w:t>
            </w:r>
            <w:r w:rsidR="00BD6159" w:rsidRPr="00494D8C">
              <w:rPr>
                <w:b/>
              </w:rPr>
              <w:t>w</w:t>
            </w:r>
            <w:r w:rsidRPr="00494D8C">
              <w:rPr>
                <w:b/>
              </w:rPr>
              <w:t>aterhouseCoopers LLP</w:t>
            </w:r>
          </w:p>
          <w:p w14:paraId="2060CABA" w14:textId="77777777" w:rsidR="00833787" w:rsidRPr="00494D8C" w:rsidRDefault="00833787" w:rsidP="00B86868">
            <w:pPr>
              <w:pStyle w:val="StandardOCAshurst"/>
              <w:jc w:val="center"/>
              <w:rPr>
                <w:bCs/>
              </w:rPr>
            </w:pPr>
            <w:r w:rsidRPr="00494D8C">
              <w:rPr>
                <w:bCs/>
              </w:rPr>
              <w:t>300 Madison Avenue</w:t>
            </w:r>
          </w:p>
          <w:p w14:paraId="3C4DFBF1" w14:textId="77777777" w:rsidR="00833787" w:rsidRPr="00494D8C" w:rsidRDefault="00833787" w:rsidP="00B86868">
            <w:pPr>
              <w:pStyle w:val="StandardOCAshurst"/>
              <w:jc w:val="center"/>
              <w:rPr>
                <w:bCs/>
              </w:rPr>
            </w:pPr>
            <w:r w:rsidRPr="00494D8C">
              <w:rPr>
                <w:bCs/>
              </w:rPr>
              <w:t>New York, New York 10017</w:t>
            </w:r>
          </w:p>
          <w:p w14:paraId="16C71323" w14:textId="77777777" w:rsidR="00833787" w:rsidRPr="00494D8C" w:rsidRDefault="00833787" w:rsidP="00B86868">
            <w:pPr>
              <w:pStyle w:val="StandardOCAshurst"/>
              <w:jc w:val="center"/>
              <w:rPr>
                <w:b/>
              </w:rPr>
            </w:pPr>
            <w:r w:rsidRPr="00494D8C">
              <w:rPr>
                <w:bCs/>
              </w:rPr>
              <w:t>United States of America</w:t>
            </w:r>
          </w:p>
        </w:tc>
        <w:tc>
          <w:tcPr>
            <w:tcW w:w="2766" w:type="dxa"/>
          </w:tcPr>
          <w:p w14:paraId="6E35DD3C" w14:textId="77777777" w:rsidR="00833787" w:rsidRPr="00494D8C" w:rsidRDefault="00833787" w:rsidP="00B86868">
            <w:pPr>
              <w:pStyle w:val="StandardOCAshurst"/>
              <w:jc w:val="center"/>
              <w:rPr>
                <w:b/>
              </w:rPr>
            </w:pPr>
          </w:p>
        </w:tc>
      </w:tr>
      <w:tr w:rsidR="00833787" w:rsidRPr="00494D8C" w14:paraId="08629660" w14:textId="77777777" w:rsidTr="00B86868">
        <w:tc>
          <w:tcPr>
            <w:tcW w:w="2765" w:type="dxa"/>
          </w:tcPr>
          <w:p w14:paraId="62DE9771" w14:textId="77777777" w:rsidR="00833787" w:rsidRPr="00494D8C" w:rsidRDefault="00833787" w:rsidP="00B86868">
            <w:pPr>
              <w:pStyle w:val="StandardOCAshurst"/>
              <w:jc w:val="center"/>
              <w:rPr>
                <w:b/>
              </w:rPr>
            </w:pPr>
          </w:p>
        </w:tc>
        <w:tc>
          <w:tcPr>
            <w:tcW w:w="2775" w:type="dxa"/>
          </w:tcPr>
          <w:p w14:paraId="283FE434" w14:textId="77777777" w:rsidR="00794AB3" w:rsidRPr="00494D8C" w:rsidRDefault="00794AB3" w:rsidP="00B86868">
            <w:pPr>
              <w:pStyle w:val="StandardOCAshurst"/>
              <w:jc w:val="center"/>
              <w:rPr>
                <w:b/>
              </w:rPr>
            </w:pPr>
          </w:p>
          <w:p w14:paraId="1064AC83" w14:textId="67E07045" w:rsidR="00833787" w:rsidRPr="00494D8C" w:rsidRDefault="00833787" w:rsidP="00B86868">
            <w:pPr>
              <w:pStyle w:val="StandardOCAshurst"/>
              <w:jc w:val="center"/>
              <w:rPr>
                <w:b/>
              </w:rPr>
            </w:pPr>
            <w:r w:rsidRPr="00494D8C">
              <w:rPr>
                <w:b/>
              </w:rPr>
              <w:t>Legal Advisers</w:t>
            </w:r>
          </w:p>
          <w:p w14:paraId="013AC4A2" w14:textId="77777777" w:rsidR="00833787" w:rsidRPr="00494D8C" w:rsidRDefault="00833787" w:rsidP="00B86868">
            <w:pPr>
              <w:pStyle w:val="StandardOCAshurst"/>
              <w:jc w:val="center"/>
              <w:rPr>
                <w:b/>
              </w:rPr>
            </w:pPr>
          </w:p>
        </w:tc>
        <w:tc>
          <w:tcPr>
            <w:tcW w:w="2766" w:type="dxa"/>
          </w:tcPr>
          <w:p w14:paraId="46962051" w14:textId="77777777" w:rsidR="00833787" w:rsidRPr="00494D8C" w:rsidRDefault="00833787" w:rsidP="00B86868">
            <w:pPr>
              <w:pStyle w:val="StandardOCAshurst"/>
              <w:jc w:val="center"/>
              <w:rPr>
                <w:b/>
              </w:rPr>
            </w:pPr>
          </w:p>
        </w:tc>
      </w:tr>
      <w:tr w:rsidR="00833787" w:rsidRPr="00494D8C" w14:paraId="25BE2906" w14:textId="77777777" w:rsidTr="00B86868">
        <w:tc>
          <w:tcPr>
            <w:tcW w:w="2765" w:type="dxa"/>
          </w:tcPr>
          <w:p w14:paraId="492FA2BD" w14:textId="77777777" w:rsidR="00833787" w:rsidRPr="00494D8C" w:rsidRDefault="00833787" w:rsidP="00B86868">
            <w:pPr>
              <w:pStyle w:val="StandardOCAshurst"/>
              <w:jc w:val="center"/>
              <w:rPr>
                <w:b/>
              </w:rPr>
            </w:pPr>
          </w:p>
        </w:tc>
        <w:tc>
          <w:tcPr>
            <w:tcW w:w="2775" w:type="dxa"/>
          </w:tcPr>
          <w:p w14:paraId="4382F989" w14:textId="77777777" w:rsidR="00833787" w:rsidRPr="00494D8C" w:rsidRDefault="00833787" w:rsidP="00B86868">
            <w:pPr>
              <w:pStyle w:val="StandardOCAshurst"/>
              <w:jc w:val="center"/>
              <w:rPr>
                <w:b/>
              </w:rPr>
            </w:pPr>
            <w:r w:rsidRPr="00494D8C">
              <w:rPr>
                <w:b/>
              </w:rPr>
              <w:t>To the Issuers</w:t>
            </w:r>
          </w:p>
          <w:p w14:paraId="12ABE48C" w14:textId="77777777" w:rsidR="00833787" w:rsidRPr="00494D8C" w:rsidRDefault="00833787" w:rsidP="00B86868">
            <w:pPr>
              <w:pStyle w:val="StandardOCAshurst"/>
              <w:jc w:val="center"/>
              <w:rPr>
                <w:b/>
              </w:rPr>
            </w:pPr>
          </w:p>
        </w:tc>
        <w:tc>
          <w:tcPr>
            <w:tcW w:w="2766" w:type="dxa"/>
          </w:tcPr>
          <w:p w14:paraId="676B9849" w14:textId="77777777" w:rsidR="00833787" w:rsidRPr="00494D8C" w:rsidRDefault="00833787" w:rsidP="00B86868">
            <w:pPr>
              <w:pStyle w:val="StandardOCAshurst"/>
              <w:jc w:val="center"/>
              <w:rPr>
                <w:b/>
              </w:rPr>
            </w:pPr>
          </w:p>
        </w:tc>
      </w:tr>
      <w:tr w:rsidR="00833787" w:rsidRPr="00494D8C" w14:paraId="3CA68FFA" w14:textId="77777777" w:rsidTr="00B86868">
        <w:tc>
          <w:tcPr>
            <w:tcW w:w="2765" w:type="dxa"/>
          </w:tcPr>
          <w:p w14:paraId="0B38925D" w14:textId="77777777" w:rsidR="00833787" w:rsidRPr="00494D8C" w:rsidRDefault="00833787" w:rsidP="00B86868">
            <w:pPr>
              <w:pStyle w:val="StandardOCAshurst"/>
              <w:jc w:val="center"/>
              <w:rPr>
                <w:i/>
              </w:rPr>
            </w:pPr>
            <w:r w:rsidRPr="00494D8C">
              <w:rPr>
                <w:i/>
              </w:rPr>
              <w:t>in respect of U.S. law</w:t>
            </w:r>
          </w:p>
          <w:p w14:paraId="1453C2B2" w14:textId="77777777" w:rsidR="00833787" w:rsidRPr="00494D8C" w:rsidRDefault="00833787" w:rsidP="00B86868">
            <w:pPr>
              <w:pStyle w:val="StandardOCAshurst"/>
              <w:jc w:val="center"/>
              <w:rPr>
                <w:b/>
              </w:rPr>
            </w:pPr>
          </w:p>
        </w:tc>
        <w:tc>
          <w:tcPr>
            <w:tcW w:w="2775" w:type="dxa"/>
          </w:tcPr>
          <w:p w14:paraId="6C60D006" w14:textId="77777777" w:rsidR="00833787" w:rsidRPr="00494D8C" w:rsidRDefault="00833787" w:rsidP="00B86868">
            <w:pPr>
              <w:pStyle w:val="StandardOCAshurst"/>
              <w:jc w:val="center"/>
              <w:rPr>
                <w:b/>
              </w:rPr>
            </w:pPr>
          </w:p>
        </w:tc>
        <w:tc>
          <w:tcPr>
            <w:tcW w:w="2766" w:type="dxa"/>
          </w:tcPr>
          <w:p w14:paraId="59195A35" w14:textId="77777777" w:rsidR="00833787" w:rsidRPr="00494D8C" w:rsidRDefault="00833787" w:rsidP="00B86868">
            <w:pPr>
              <w:pStyle w:val="StandardOCAshurst"/>
              <w:jc w:val="center"/>
              <w:rPr>
                <w:b/>
              </w:rPr>
            </w:pPr>
            <w:r w:rsidRPr="00494D8C">
              <w:rPr>
                <w:i/>
              </w:rPr>
              <w:t>in respect of Dutch law</w:t>
            </w:r>
          </w:p>
        </w:tc>
      </w:tr>
      <w:tr w:rsidR="00833787" w:rsidRPr="00494D8C" w14:paraId="74918937" w14:textId="77777777" w:rsidTr="00B86868">
        <w:tc>
          <w:tcPr>
            <w:tcW w:w="2765" w:type="dxa"/>
          </w:tcPr>
          <w:p w14:paraId="5CEE32CD" w14:textId="77777777" w:rsidR="00833787" w:rsidRPr="00494D8C" w:rsidRDefault="00833787" w:rsidP="00B86868">
            <w:pPr>
              <w:pStyle w:val="StandardOCAshurst"/>
              <w:jc w:val="center"/>
              <w:rPr>
                <w:b/>
              </w:rPr>
            </w:pPr>
            <w:r w:rsidRPr="00494D8C">
              <w:rPr>
                <w:b/>
              </w:rPr>
              <w:t>Ashurst LLP</w:t>
            </w:r>
          </w:p>
          <w:p w14:paraId="391FB92A" w14:textId="77777777" w:rsidR="00833787" w:rsidRPr="00494D8C" w:rsidRDefault="00833787" w:rsidP="00B86868">
            <w:pPr>
              <w:pStyle w:val="StandardOCAshurst"/>
              <w:jc w:val="center"/>
            </w:pPr>
            <w:r w:rsidRPr="00494D8C">
              <w:t>55 Hudson Yards</w:t>
            </w:r>
          </w:p>
          <w:p w14:paraId="110F602B" w14:textId="77777777" w:rsidR="00833787" w:rsidRPr="00494D8C" w:rsidRDefault="00833787" w:rsidP="00B86868">
            <w:pPr>
              <w:pStyle w:val="StandardOCAshurst"/>
              <w:jc w:val="center"/>
            </w:pPr>
            <w:r w:rsidRPr="00494D8C">
              <w:t>18th Floor</w:t>
            </w:r>
          </w:p>
          <w:p w14:paraId="15E91848" w14:textId="77777777" w:rsidR="00833787" w:rsidRPr="00494D8C" w:rsidRDefault="00833787" w:rsidP="00B86868">
            <w:pPr>
              <w:pStyle w:val="StandardOCAshurst"/>
              <w:jc w:val="center"/>
            </w:pPr>
            <w:r w:rsidRPr="00494D8C">
              <w:t>New York, NY 10001</w:t>
            </w:r>
          </w:p>
          <w:p w14:paraId="2A5540A6" w14:textId="77777777" w:rsidR="00833787" w:rsidRPr="00494D8C" w:rsidRDefault="00833787" w:rsidP="00B86868">
            <w:pPr>
              <w:pStyle w:val="StandardOCAshurst"/>
              <w:jc w:val="center"/>
            </w:pPr>
            <w:r w:rsidRPr="00494D8C">
              <w:t>United States of America</w:t>
            </w:r>
          </w:p>
          <w:p w14:paraId="239DE684" w14:textId="77777777" w:rsidR="00833787" w:rsidRPr="00494D8C" w:rsidRDefault="00833787" w:rsidP="00B86868">
            <w:pPr>
              <w:pStyle w:val="StandardOCAshurst"/>
              <w:jc w:val="center"/>
            </w:pPr>
          </w:p>
        </w:tc>
        <w:tc>
          <w:tcPr>
            <w:tcW w:w="2775" w:type="dxa"/>
          </w:tcPr>
          <w:p w14:paraId="7BA110FE" w14:textId="77777777" w:rsidR="00833787" w:rsidRPr="00494D8C" w:rsidRDefault="00833787" w:rsidP="00B86868">
            <w:pPr>
              <w:pStyle w:val="StandardOCAshurst"/>
              <w:jc w:val="center"/>
              <w:rPr>
                <w:b/>
              </w:rPr>
            </w:pPr>
          </w:p>
        </w:tc>
        <w:tc>
          <w:tcPr>
            <w:tcW w:w="2766" w:type="dxa"/>
          </w:tcPr>
          <w:p w14:paraId="6D15E592" w14:textId="77777777" w:rsidR="00833787" w:rsidRPr="00494D8C" w:rsidRDefault="00833787" w:rsidP="00B86868">
            <w:pPr>
              <w:pStyle w:val="StandardOCAshurst"/>
              <w:jc w:val="center"/>
              <w:rPr>
                <w:b/>
              </w:rPr>
            </w:pPr>
            <w:r w:rsidRPr="00494D8C">
              <w:rPr>
                <w:b/>
              </w:rPr>
              <w:t>Clifford Chance LLP</w:t>
            </w:r>
          </w:p>
          <w:p w14:paraId="7C14F145" w14:textId="77777777" w:rsidR="00833787" w:rsidRPr="00494D8C" w:rsidRDefault="00833787" w:rsidP="00B86868">
            <w:pPr>
              <w:pStyle w:val="StandardOCAshurst"/>
              <w:jc w:val="center"/>
            </w:pPr>
            <w:proofErr w:type="spellStart"/>
            <w:r w:rsidRPr="00494D8C">
              <w:t>Droogbak</w:t>
            </w:r>
            <w:proofErr w:type="spellEnd"/>
            <w:r w:rsidRPr="00494D8C">
              <w:t xml:space="preserve"> </w:t>
            </w:r>
            <w:proofErr w:type="spellStart"/>
            <w:r w:rsidRPr="00494D8C">
              <w:t>1A</w:t>
            </w:r>
            <w:proofErr w:type="spellEnd"/>
          </w:p>
          <w:p w14:paraId="4A78DF2C" w14:textId="77777777" w:rsidR="00833787" w:rsidRPr="00494D8C" w:rsidRDefault="00833787" w:rsidP="00B86868">
            <w:pPr>
              <w:pStyle w:val="StandardOCAshurst"/>
              <w:jc w:val="center"/>
            </w:pPr>
            <w:r w:rsidRPr="00494D8C">
              <w:t>1013 GE Amsterdam</w:t>
            </w:r>
          </w:p>
          <w:p w14:paraId="1A16859C" w14:textId="77777777" w:rsidR="00833787" w:rsidRPr="00494D8C" w:rsidRDefault="00833787" w:rsidP="00B86868">
            <w:pPr>
              <w:pStyle w:val="StandardOCAshurst"/>
              <w:jc w:val="center"/>
            </w:pPr>
            <w:r w:rsidRPr="00494D8C">
              <w:t>PO Box 251</w:t>
            </w:r>
          </w:p>
          <w:p w14:paraId="6D10775A" w14:textId="77777777" w:rsidR="00833787" w:rsidRPr="00494D8C" w:rsidRDefault="00833787" w:rsidP="00B86868">
            <w:pPr>
              <w:pStyle w:val="StandardOCAshurst"/>
              <w:jc w:val="center"/>
            </w:pPr>
            <w:r w:rsidRPr="00494D8C">
              <w:t>1000 AG Amsterdam</w:t>
            </w:r>
          </w:p>
          <w:p w14:paraId="2BBFB50D" w14:textId="77777777" w:rsidR="00833787" w:rsidRPr="00494D8C" w:rsidRDefault="00833787" w:rsidP="00B86868">
            <w:pPr>
              <w:pStyle w:val="StandardOCAshurst"/>
              <w:jc w:val="center"/>
            </w:pPr>
            <w:r w:rsidRPr="00494D8C">
              <w:t>The Netherlands</w:t>
            </w:r>
          </w:p>
        </w:tc>
      </w:tr>
      <w:tr w:rsidR="00833787" w:rsidRPr="00494D8C" w14:paraId="54AD05DC" w14:textId="77777777" w:rsidTr="00B86868">
        <w:tc>
          <w:tcPr>
            <w:tcW w:w="2765" w:type="dxa"/>
          </w:tcPr>
          <w:p w14:paraId="0E49E67D" w14:textId="77777777" w:rsidR="00833787" w:rsidRPr="00494D8C" w:rsidRDefault="00833787" w:rsidP="00B86868">
            <w:pPr>
              <w:pStyle w:val="StandardOCAshurst"/>
              <w:jc w:val="center"/>
              <w:rPr>
                <w:i/>
              </w:rPr>
            </w:pPr>
          </w:p>
        </w:tc>
        <w:tc>
          <w:tcPr>
            <w:tcW w:w="2775" w:type="dxa"/>
          </w:tcPr>
          <w:p w14:paraId="441C0547" w14:textId="77777777" w:rsidR="00833787" w:rsidRPr="00494D8C" w:rsidRDefault="00833787" w:rsidP="00B86868">
            <w:pPr>
              <w:pStyle w:val="StandardOCAshurst"/>
              <w:jc w:val="center"/>
              <w:rPr>
                <w:b/>
              </w:rPr>
            </w:pPr>
          </w:p>
        </w:tc>
        <w:tc>
          <w:tcPr>
            <w:tcW w:w="2766" w:type="dxa"/>
          </w:tcPr>
          <w:p w14:paraId="020353A8" w14:textId="77777777" w:rsidR="00833787" w:rsidRPr="00494D8C" w:rsidRDefault="00833787" w:rsidP="00B86868">
            <w:pPr>
              <w:pStyle w:val="StandardOCAshurst"/>
              <w:jc w:val="center"/>
              <w:rPr>
                <w:i/>
              </w:rPr>
            </w:pPr>
          </w:p>
        </w:tc>
      </w:tr>
      <w:tr w:rsidR="00833787" w:rsidRPr="00494D8C" w14:paraId="2B25CEAA" w14:textId="77777777" w:rsidTr="00B86868">
        <w:tc>
          <w:tcPr>
            <w:tcW w:w="2765" w:type="dxa"/>
          </w:tcPr>
          <w:p w14:paraId="0CC69AC0" w14:textId="77777777" w:rsidR="00833787" w:rsidRPr="00494D8C" w:rsidRDefault="00833787" w:rsidP="00B86868">
            <w:pPr>
              <w:pStyle w:val="StandardOCAshurst"/>
              <w:jc w:val="center"/>
              <w:rPr>
                <w:i/>
              </w:rPr>
            </w:pPr>
          </w:p>
          <w:p w14:paraId="3A2B695A" w14:textId="77777777" w:rsidR="00833787" w:rsidRPr="00494D8C" w:rsidRDefault="00833787" w:rsidP="00B86868">
            <w:pPr>
              <w:pStyle w:val="StandardOCAshurst"/>
              <w:jc w:val="center"/>
              <w:rPr>
                <w:b/>
              </w:rPr>
            </w:pPr>
          </w:p>
        </w:tc>
        <w:tc>
          <w:tcPr>
            <w:tcW w:w="2775" w:type="dxa"/>
          </w:tcPr>
          <w:p w14:paraId="2E7584FA" w14:textId="77777777" w:rsidR="00833787" w:rsidRPr="00494D8C" w:rsidRDefault="00833787" w:rsidP="00B86868">
            <w:pPr>
              <w:pStyle w:val="StandardOCAshurst"/>
              <w:jc w:val="center"/>
              <w:rPr>
                <w:b/>
              </w:rPr>
            </w:pPr>
          </w:p>
        </w:tc>
        <w:tc>
          <w:tcPr>
            <w:tcW w:w="2766" w:type="dxa"/>
          </w:tcPr>
          <w:p w14:paraId="6D7B3825" w14:textId="77777777" w:rsidR="00833787" w:rsidRPr="00494D8C" w:rsidRDefault="00833787" w:rsidP="00B86868">
            <w:pPr>
              <w:pStyle w:val="StandardOCAshurst"/>
              <w:jc w:val="center"/>
              <w:rPr>
                <w:b/>
              </w:rPr>
            </w:pPr>
          </w:p>
        </w:tc>
      </w:tr>
      <w:tr w:rsidR="00833787" w:rsidRPr="00494D8C" w14:paraId="1B5B4C4B" w14:textId="77777777" w:rsidTr="00B86868">
        <w:tc>
          <w:tcPr>
            <w:tcW w:w="2765" w:type="dxa"/>
          </w:tcPr>
          <w:p w14:paraId="647626E6" w14:textId="77777777" w:rsidR="00833787" w:rsidRPr="00494D8C" w:rsidRDefault="00833787" w:rsidP="00B86868">
            <w:pPr>
              <w:pStyle w:val="StandardOCAshurst"/>
              <w:jc w:val="center"/>
            </w:pPr>
          </w:p>
        </w:tc>
        <w:tc>
          <w:tcPr>
            <w:tcW w:w="2775" w:type="dxa"/>
          </w:tcPr>
          <w:p w14:paraId="23BF28E9" w14:textId="77777777" w:rsidR="00833787" w:rsidRPr="00494D8C" w:rsidRDefault="00833787" w:rsidP="00B86868">
            <w:pPr>
              <w:pStyle w:val="StandardOCAshurst"/>
              <w:jc w:val="center"/>
              <w:rPr>
                <w:b/>
              </w:rPr>
            </w:pPr>
          </w:p>
        </w:tc>
        <w:tc>
          <w:tcPr>
            <w:tcW w:w="2766" w:type="dxa"/>
          </w:tcPr>
          <w:p w14:paraId="779146F0" w14:textId="77777777" w:rsidR="00833787" w:rsidRPr="00494D8C" w:rsidRDefault="00833787" w:rsidP="00B86868">
            <w:pPr>
              <w:pStyle w:val="StandardOCAshurst"/>
              <w:jc w:val="center"/>
              <w:rPr>
                <w:i/>
              </w:rPr>
            </w:pPr>
          </w:p>
        </w:tc>
      </w:tr>
    </w:tbl>
    <w:p w14:paraId="188A8A54" w14:textId="77777777" w:rsidR="00833787" w:rsidRPr="00494D8C" w:rsidRDefault="00833787" w:rsidP="00833787">
      <w:pPr>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8"/>
        <w:gridCol w:w="2782"/>
        <w:gridCol w:w="2756"/>
      </w:tblGrid>
      <w:tr w:rsidR="00833787" w:rsidRPr="00494D8C" w14:paraId="66EDBB44" w14:textId="77777777" w:rsidTr="00B86868">
        <w:tc>
          <w:tcPr>
            <w:tcW w:w="2768" w:type="dxa"/>
          </w:tcPr>
          <w:p w14:paraId="15E96B05" w14:textId="77777777" w:rsidR="00833787" w:rsidRPr="00494D8C" w:rsidRDefault="00833787" w:rsidP="00B86868">
            <w:pPr>
              <w:pStyle w:val="StandardOCAshurst"/>
              <w:keepNext/>
              <w:jc w:val="center"/>
              <w:rPr>
                <w:b/>
              </w:rPr>
            </w:pPr>
          </w:p>
        </w:tc>
        <w:tc>
          <w:tcPr>
            <w:tcW w:w="2782" w:type="dxa"/>
          </w:tcPr>
          <w:p w14:paraId="36BB62A1" w14:textId="77777777" w:rsidR="00833787" w:rsidRPr="00494D8C" w:rsidRDefault="00833787" w:rsidP="00B86868">
            <w:pPr>
              <w:pStyle w:val="StandardOCAshurst"/>
              <w:keepNext/>
              <w:jc w:val="center"/>
              <w:rPr>
                <w:b/>
              </w:rPr>
            </w:pPr>
            <w:r w:rsidRPr="00494D8C">
              <w:rPr>
                <w:b/>
              </w:rPr>
              <w:t>To the Arranger and Dealer</w:t>
            </w:r>
          </w:p>
          <w:p w14:paraId="4DC37CB9" w14:textId="77777777" w:rsidR="00833787" w:rsidRPr="00494D8C" w:rsidRDefault="00833787" w:rsidP="00B86868">
            <w:pPr>
              <w:pStyle w:val="StandardOCAshurst"/>
              <w:keepNext/>
              <w:jc w:val="center"/>
              <w:rPr>
                <w:b/>
              </w:rPr>
            </w:pPr>
          </w:p>
        </w:tc>
        <w:tc>
          <w:tcPr>
            <w:tcW w:w="2756" w:type="dxa"/>
          </w:tcPr>
          <w:p w14:paraId="5F94B4EC" w14:textId="77777777" w:rsidR="00833787" w:rsidRPr="00494D8C" w:rsidRDefault="00833787" w:rsidP="00B86868">
            <w:pPr>
              <w:pStyle w:val="StandardOCAshurst"/>
              <w:keepNext/>
              <w:jc w:val="center"/>
              <w:rPr>
                <w:b/>
              </w:rPr>
            </w:pPr>
          </w:p>
        </w:tc>
      </w:tr>
      <w:tr w:rsidR="00833787" w:rsidRPr="00494D8C" w14:paraId="57777D85" w14:textId="77777777" w:rsidTr="00B86868">
        <w:tc>
          <w:tcPr>
            <w:tcW w:w="2768" w:type="dxa"/>
          </w:tcPr>
          <w:p w14:paraId="4936115E" w14:textId="77777777" w:rsidR="00833787" w:rsidRPr="00494D8C" w:rsidRDefault="00833787" w:rsidP="00B86868">
            <w:pPr>
              <w:pStyle w:val="StandardOCAshurst"/>
              <w:keepNext/>
              <w:jc w:val="center"/>
              <w:rPr>
                <w:b/>
              </w:rPr>
            </w:pPr>
          </w:p>
        </w:tc>
        <w:tc>
          <w:tcPr>
            <w:tcW w:w="2782" w:type="dxa"/>
          </w:tcPr>
          <w:p w14:paraId="3A45320B" w14:textId="77777777" w:rsidR="00833787" w:rsidRPr="00494D8C" w:rsidRDefault="00833787" w:rsidP="00B86868">
            <w:pPr>
              <w:pStyle w:val="StandardOCAshurst"/>
              <w:keepNext/>
              <w:jc w:val="center"/>
              <w:rPr>
                <w:i/>
              </w:rPr>
            </w:pPr>
            <w:r w:rsidRPr="00494D8C">
              <w:rPr>
                <w:i/>
              </w:rPr>
              <w:t>in respect of English law</w:t>
            </w:r>
          </w:p>
          <w:p w14:paraId="0B9DA33F" w14:textId="77777777" w:rsidR="00833787" w:rsidRPr="00494D8C" w:rsidRDefault="00833787" w:rsidP="00B86868">
            <w:pPr>
              <w:pStyle w:val="StandardOCAshurst"/>
              <w:keepNext/>
              <w:jc w:val="center"/>
              <w:rPr>
                <w:b/>
              </w:rPr>
            </w:pPr>
          </w:p>
        </w:tc>
        <w:tc>
          <w:tcPr>
            <w:tcW w:w="2756" w:type="dxa"/>
          </w:tcPr>
          <w:p w14:paraId="398C53CC" w14:textId="77777777" w:rsidR="00833787" w:rsidRPr="00494D8C" w:rsidRDefault="00833787" w:rsidP="00B86868">
            <w:pPr>
              <w:pStyle w:val="StandardOCAshurst"/>
              <w:keepNext/>
              <w:jc w:val="center"/>
              <w:rPr>
                <w:b/>
              </w:rPr>
            </w:pPr>
          </w:p>
        </w:tc>
      </w:tr>
      <w:tr w:rsidR="00833787" w:rsidRPr="00494D8C" w14:paraId="05B07341" w14:textId="77777777" w:rsidTr="00B86868">
        <w:tc>
          <w:tcPr>
            <w:tcW w:w="2768" w:type="dxa"/>
          </w:tcPr>
          <w:p w14:paraId="1E172AF0" w14:textId="77777777" w:rsidR="00833787" w:rsidRPr="00494D8C" w:rsidRDefault="00833787" w:rsidP="00B86868">
            <w:pPr>
              <w:pStyle w:val="StandardOCAshurst"/>
              <w:keepNext/>
              <w:jc w:val="center"/>
              <w:rPr>
                <w:b/>
              </w:rPr>
            </w:pPr>
          </w:p>
        </w:tc>
        <w:tc>
          <w:tcPr>
            <w:tcW w:w="2782" w:type="dxa"/>
          </w:tcPr>
          <w:p w14:paraId="79D707EF" w14:textId="77777777" w:rsidR="00833787" w:rsidRPr="00494D8C" w:rsidRDefault="00833787" w:rsidP="00B86868">
            <w:pPr>
              <w:pStyle w:val="StandardOCAshurst"/>
              <w:keepNext/>
              <w:jc w:val="center"/>
              <w:rPr>
                <w:b/>
              </w:rPr>
            </w:pPr>
            <w:r w:rsidRPr="00494D8C">
              <w:rPr>
                <w:b/>
              </w:rPr>
              <w:t>Ashurst LLP</w:t>
            </w:r>
          </w:p>
          <w:p w14:paraId="4958585B" w14:textId="77777777" w:rsidR="00833787" w:rsidRPr="00494D8C" w:rsidRDefault="00833787" w:rsidP="00B86868">
            <w:pPr>
              <w:pStyle w:val="StandardOCAshurst"/>
              <w:keepNext/>
              <w:jc w:val="center"/>
            </w:pPr>
            <w:r w:rsidRPr="00494D8C">
              <w:t>London Fruit and Wool Exchange</w:t>
            </w:r>
          </w:p>
          <w:p w14:paraId="5D4270B3" w14:textId="77777777" w:rsidR="00833787" w:rsidRPr="00494D8C" w:rsidRDefault="00833787" w:rsidP="00B86868">
            <w:pPr>
              <w:pStyle w:val="StandardOCAshurst"/>
              <w:keepNext/>
              <w:jc w:val="center"/>
            </w:pPr>
            <w:r w:rsidRPr="00494D8C">
              <w:t>1 Duval Square</w:t>
            </w:r>
          </w:p>
          <w:p w14:paraId="58EA7478" w14:textId="77777777" w:rsidR="00833787" w:rsidRPr="00494D8C" w:rsidRDefault="00833787" w:rsidP="00B86868">
            <w:pPr>
              <w:pStyle w:val="StandardOCAshurst"/>
              <w:keepNext/>
              <w:jc w:val="center"/>
            </w:pPr>
            <w:r w:rsidRPr="00494D8C">
              <w:t xml:space="preserve">London </w:t>
            </w:r>
            <w:proofErr w:type="spellStart"/>
            <w:r w:rsidRPr="00494D8C">
              <w:t>E1</w:t>
            </w:r>
            <w:proofErr w:type="spellEnd"/>
            <w:r w:rsidRPr="00494D8C">
              <w:t xml:space="preserve"> </w:t>
            </w:r>
            <w:proofErr w:type="spellStart"/>
            <w:r w:rsidRPr="00494D8C">
              <w:t>6PW</w:t>
            </w:r>
            <w:proofErr w:type="spellEnd"/>
          </w:p>
          <w:p w14:paraId="3582F995" w14:textId="77777777" w:rsidR="00833787" w:rsidRPr="00494D8C" w:rsidRDefault="00833787" w:rsidP="00B86868">
            <w:pPr>
              <w:pStyle w:val="StandardOCAshurst"/>
              <w:keepNext/>
              <w:jc w:val="center"/>
            </w:pPr>
            <w:r w:rsidRPr="00494D8C">
              <w:t>United Kingdom</w:t>
            </w:r>
          </w:p>
          <w:p w14:paraId="7CADA8BC" w14:textId="77777777" w:rsidR="00833787" w:rsidRPr="00494D8C" w:rsidRDefault="00833787" w:rsidP="00B86868">
            <w:pPr>
              <w:pStyle w:val="StandardOCAshurst"/>
              <w:keepNext/>
              <w:jc w:val="center"/>
              <w:rPr>
                <w:i/>
              </w:rPr>
            </w:pPr>
          </w:p>
        </w:tc>
        <w:tc>
          <w:tcPr>
            <w:tcW w:w="2756" w:type="dxa"/>
          </w:tcPr>
          <w:p w14:paraId="2D2F2BCF" w14:textId="77777777" w:rsidR="00833787" w:rsidRPr="00494D8C" w:rsidRDefault="00833787" w:rsidP="00B86868">
            <w:pPr>
              <w:pStyle w:val="StandardOCAshurst"/>
              <w:keepNext/>
              <w:jc w:val="center"/>
              <w:rPr>
                <w:b/>
              </w:rPr>
            </w:pPr>
          </w:p>
        </w:tc>
      </w:tr>
      <w:tr w:rsidR="00833787" w:rsidRPr="00494D8C" w14:paraId="4E4F5478" w14:textId="77777777" w:rsidTr="00B86868">
        <w:tc>
          <w:tcPr>
            <w:tcW w:w="8306" w:type="dxa"/>
            <w:gridSpan w:val="3"/>
          </w:tcPr>
          <w:p w14:paraId="5D4229ED" w14:textId="77777777" w:rsidR="00833787" w:rsidRPr="00494D8C" w:rsidRDefault="00833787" w:rsidP="00B86868">
            <w:pPr>
              <w:pStyle w:val="NormalOCAshurst"/>
              <w:jc w:val="center"/>
              <w:rPr>
                <w:b/>
              </w:rPr>
            </w:pPr>
            <w:r w:rsidRPr="00494D8C">
              <w:rPr>
                <w:b/>
                <w:i/>
              </w:rPr>
              <w:t>In respect of Norwegian Securities:</w:t>
            </w:r>
          </w:p>
        </w:tc>
      </w:tr>
      <w:tr w:rsidR="00833787" w:rsidRPr="00494D8C" w14:paraId="2E7E554D" w14:textId="77777777" w:rsidTr="00B86868">
        <w:tc>
          <w:tcPr>
            <w:tcW w:w="2768" w:type="dxa"/>
          </w:tcPr>
          <w:p w14:paraId="54686499" w14:textId="77777777" w:rsidR="00833787" w:rsidRPr="00494D8C" w:rsidRDefault="00833787" w:rsidP="00B86868">
            <w:pPr>
              <w:pStyle w:val="StandardOCAshurst"/>
              <w:jc w:val="center"/>
              <w:rPr>
                <w:b/>
              </w:rPr>
            </w:pPr>
            <w:r w:rsidRPr="00494D8C">
              <w:rPr>
                <w:b/>
              </w:rPr>
              <w:t>Norwegian Programme Agent</w:t>
            </w:r>
          </w:p>
        </w:tc>
        <w:tc>
          <w:tcPr>
            <w:tcW w:w="2782" w:type="dxa"/>
          </w:tcPr>
          <w:p w14:paraId="43E815BA" w14:textId="77777777" w:rsidR="00833787" w:rsidRPr="00494D8C" w:rsidRDefault="00833787" w:rsidP="00B86868">
            <w:pPr>
              <w:pStyle w:val="NormalOCAshurst"/>
              <w:jc w:val="center"/>
              <w:rPr>
                <w:b/>
                <w:i/>
              </w:rPr>
            </w:pPr>
            <w:r w:rsidRPr="00494D8C">
              <w:rPr>
                <w:b/>
              </w:rPr>
              <w:t>Norwegian Registrar</w:t>
            </w:r>
          </w:p>
        </w:tc>
        <w:tc>
          <w:tcPr>
            <w:tcW w:w="2756" w:type="dxa"/>
          </w:tcPr>
          <w:p w14:paraId="399659BC" w14:textId="77777777" w:rsidR="00833787" w:rsidRPr="00494D8C" w:rsidRDefault="00833787" w:rsidP="00B86868">
            <w:pPr>
              <w:pStyle w:val="StandardOCAshurst"/>
              <w:jc w:val="center"/>
              <w:rPr>
                <w:b/>
              </w:rPr>
            </w:pPr>
            <w:r w:rsidRPr="00494D8C">
              <w:rPr>
                <w:b/>
              </w:rPr>
              <w:t>Legal Adviser to the Issuers in respect of Norwegian law</w:t>
            </w:r>
          </w:p>
          <w:p w14:paraId="57FD60FB" w14:textId="77777777" w:rsidR="00833787" w:rsidRPr="00494D8C" w:rsidRDefault="00833787" w:rsidP="00B86868">
            <w:pPr>
              <w:pStyle w:val="StandardOCAshurst"/>
              <w:jc w:val="center"/>
              <w:rPr>
                <w:b/>
              </w:rPr>
            </w:pPr>
          </w:p>
        </w:tc>
      </w:tr>
      <w:tr w:rsidR="00833787" w:rsidRPr="00494D8C" w14:paraId="676C5C77" w14:textId="77777777" w:rsidTr="00B86868">
        <w:tc>
          <w:tcPr>
            <w:tcW w:w="2768" w:type="dxa"/>
          </w:tcPr>
          <w:p w14:paraId="3F9B35D4" w14:textId="77777777" w:rsidR="00833787" w:rsidRPr="00494D8C" w:rsidRDefault="00833787" w:rsidP="00B86868">
            <w:pPr>
              <w:pStyle w:val="StandardOCAshurst"/>
              <w:jc w:val="center"/>
              <w:rPr>
                <w:b/>
                <w:lang w:val="da-DK"/>
              </w:rPr>
            </w:pPr>
            <w:r w:rsidRPr="00494D8C">
              <w:rPr>
                <w:b/>
                <w:lang w:val="da-DK"/>
              </w:rPr>
              <w:t>Skandinaviska Enskilda Banken AB (publ)</w:t>
            </w:r>
          </w:p>
          <w:p w14:paraId="406CCB1A" w14:textId="77777777" w:rsidR="00833787" w:rsidRPr="00494D8C" w:rsidRDefault="00833787" w:rsidP="00B86868">
            <w:pPr>
              <w:pStyle w:val="StandardOCAshurst"/>
              <w:jc w:val="center"/>
              <w:rPr>
                <w:lang w:val="da-DK"/>
              </w:rPr>
            </w:pPr>
            <w:r w:rsidRPr="00494D8C">
              <w:rPr>
                <w:lang w:val="da-DK"/>
              </w:rPr>
              <w:t>Oslo Branch</w:t>
            </w:r>
          </w:p>
          <w:p w14:paraId="28B86A0E" w14:textId="77777777" w:rsidR="00833787" w:rsidRPr="00494D8C" w:rsidRDefault="00833787" w:rsidP="00B86868">
            <w:pPr>
              <w:pStyle w:val="StandardOCAshurst"/>
              <w:jc w:val="center"/>
              <w:rPr>
                <w:lang w:val="da-DK"/>
              </w:rPr>
            </w:pPr>
            <w:r w:rsidRPr="00494D8C">
              <w:rPr>
                <w:lang w:val="da-DK"/>
              </w:rPr>
              <w:t>Investor Services</w:t>
            </w:r>
          </w:p>
          <w:p w14:paraId="45C96B1C" w14:textId="77777777" w:rsidR="00833787" w:rsidRPr="00494D8C" w:rsidRDefault="00833787" w:rsidP="00B86868">
            <w:pPr>
              <w:pStyle w:val="StandardOCAshurst"/>
              <w:jc w:val="center"/>
              <w:rPr>
                <w:lang w:val="da-DK"/>
              </w:rPr>
            </w:pPr>
            <w:r w:rsidRPr="00494D8C">
              <w:rPr>
                <w:lang w:val="da-DK"/>
              </w:rPr>
              <w:t>Filipstad Brygge 1</w:t>
            </w:r>
          </w:p>
          <w:p w14:paraId="5B1EEAB6" w14:textId="77777777" w:rsidR="00833787" w:rsidRPr="00494D8C" w:rsidRDefault="00833787" w:rsidP="00B86868">
            <w:pPr>
              <w:pStyle w:val="StandardOCAshurst"/>
              <w:jc w:val="center"/>
            </w:pPr>
            <w:r w:rsidRPr="00494D8C">
              <w:t>N-0252 Oslo</w:t>
            </w:r>
          </w:p>
          <w:p w14:paraId="4C1F2447" w14:textId="77777777" w:rsidR="00833787" w:rsidRPr="00494D8C" w:rsidRDefault="00833787" w:rsidP="00B86868">
            <w:pPr>
              <w:pStyle w:val="StandardOCAshurst"/>
              <w:jc w:val="center"/>
            </w:pPr>
            <w:r w:rsidRPr="00494D8C">
              <w:t>Norway</w:t>
            </w:r>
          </w:p>
          <w:p w14:paraId="61BFA1AA" w14:textId="77777777" w:rsidR="00833787" w:rsidRPr="00494D8C" w:rsidRDefault="00833787" w:rsidP="00B86868">
            <w:pPr>
              <w:pStyle w:val="StandardOCAshurst"/>
              <w:jc w:val="center"/>
              <w:rPr>
                <w:b/>
              </w:rPr>
            </w:pPr>
          </w:p>
        </w:tc>
        <w:tc>
          <w:tcPr>
            <w:tcW w:w="2782" w:type="dxa"/>
          </w:tcPr>
          <w:p w14:paraId="0FA9E9DA" w14:textId="77777777" w:rsidR="00833787" w:rsidRPr="00494D8C" w:rsidRDefault="00833787" w:rsidP="00B86868">
            <w:pPr>
              <w:pStyle w:val="StandardOCAshurst"/>
              <w:jc w:val="center"/>
              <w:rPr>
                <w:b/>
                <w:lang w:val="pt-BR"/>
              </w:rPr>
            </w:pPr>
            <w:proofErr w:type="spellStart"/>
            <w:r w:rsidRPr="00494D8C">
              <w:rPr>
                <w:b/>
                <w:lang w:val="pt-BR"/>
              </w:rPr>
              <w:t>Verdipapirsentralen</w:t>
            </w:r>
            <w:proofErr w:type="spellEnd"/>
            <w:r w:rsidRPr="00494D8C">
              <w:rPr>
                <w:b/>
                <w:lang w:val="pt-BR"/>
              </w:rPr>
              <w:t xml:space="preserve"> ASA</w:t>
            </w:r>
          </w:p>
          <w:p w14:paraId="047D03AD" w14:textId="77777777" w:rsidR="00833787" w:rsidRPr="00494D8C" w:rsidRDefault="00833787" w:rsidP="00B86868">
            <w:pPr>
              <w:pStyle w:val="StandardOCAshurst"/>
              <w:jc w:val="center"/>
              <w:rPr>
                <w:lang w:val="pt-BR"/>
              </w:rPr>
            </w:pPr>
            <w:r w:rsidRPr="00494D8C">
              <w:rPr>
                <w:lang w:val="pt-BR"/>
              </w:rPr>
              <w:t xml:space="preserve">Fred </w:t>
            </w:r>
            <w:proofErr w:type="spellStart"/>
            <w:r w:rsidRPr="00494D8C">
              <w:rPr>
                <w:lang w:val="pt-BR"/>
              </w:rPr>
              <w:t>Olsens</w:t>
            </w:r>
            <w:proofErr w:type="spellEnd"/>
            <w:r w:rsidRPr="00494D8C">
              <w:rPr>
                <w:lang w:val="pt-BR"/>
              </w:rPr>
              <w:t xml:space="preserve"> </w:t>
            </w:r>
            <w:proofErr w:type="spellStart"/>
            <w:r w:rsidRPr="00494D8C">
              <w:rPr>
                <w:lang w:val="pt-BR"/>
              </w:rPr>
              <w:t>gate</w:t>
            </w:r>
            <w:proofErr w:type="spellEnd"/>
            <w:r w:rsidRPr="00494D8C">
              <w:rPr>
                <w:lang w:val="pt-BR"/>
              </w:rPr>
              <w:t xml:space="preserve"> 1</w:t>
            </w:r>
          </w:p>
          <w:p w14:paraId="4B02AF28" w14:textId="77777777" w:rsidR="00833787" w:rsidRPr="00494D8C" w:rsidRDefault="00833787" w:rsidP="00B86868">
            <w:pPr>
              <w:pStyle w:val="StandardOCAshurst"/>
              <w:jc w:val="center"/>
              <w:rPr>
                <w:lang w:val="pt-BR"/>
              </w:rPr>
            </w:pPr>
            <w:r w:rsidRPr="00494D8C">
              <w:rPr>
                <w:lang w:val="pt-BR"/>
              </w:rPr>
              <w:t>N-0152 Oslo</w:t>
            </w:r>
          </w:p>
          <w:p w14:paraId="41066AEC" w14:textId="77777777" w:rsidR="00833787" w:rsidRPr="00494D8C" w:rsidRDefault="00833787" w:rsidP="00B86868">
            <w:pPr>
              <w:pStyle w:val="StandardOCAshurst"/>
              <w:jc w:val="center"/>
              <w:rPr>
                <w:lang w:val="pt-BR"/>
              </w:rPr>
            </w:pPr>
            <w:proofErr w:type="spellStart"/>
            <w:r w:rsidRPr="00494D8C">
              <w:rPr>
                <w:lang w:val="pt-BR"/>
              </w:rPr>
              <w:t>P.O</w:t>
            </w:r>
            <w:proofErr w:type="spellEnd"/>
            <w:r w:rsidRPr="00494D8C">
              <w:rPr>
                <w:lang w:val="pt-BR"/>
              </w:rPr>
              <w:t xml:space="preserve">. Box. 1174 </w:t>
            </w:r>
            <w:proofErr w:type="spellStart"/>
            <w:r w:rsidRPr="00494D8C">
              <w:rPr>
                <w:lang w:val="pt-BR"/>
              </w:rPr>
              <w:t>Sentrum</w:t>
            </w:r>
            <w:proofErr w:type="spellEnd"/>
          </w:p>
          <w:p w14:paraId="2E40ADF6" w14:textId="77777777" w:rsidR="00833787" w:rsidRPr="00494D8C" w:rsidRDefault="00833787" w:rsidP="00B86868">
            <w:pPr>
              <w:pStyle w:val="StandardOCAshurst"/>
              <w:jc w:val="center"/>
              <w:rPr>
                <w:lang w:val="pt-BR"/>
              </w:rPr>
            </w:pPr>
            <w:r w:rsidRPr="00494D8C">
              <w:rPr>
                <w:lang w:val="pt-BR"/>
              </w:rPr>
              <w:t>N-0107 Oslo</w:t>
            </w:r>
          </w:p>
          <w:p w14:paraId="025E8220" w14:textId="77777777" w:rsidR="00833787" w:rsidRPr="00494D8C" w:rsidRDefault="00833787" w:rsidP="00B86868">
            <w:pPr>
              <w:pStyle w:val="StandardOCAshurst"/>
              <w:jc w:val="center"/>
              <w:rPr>
                <w:lang w:val="it-IT"/>
              </w:rPr>
            </w:pPr>
            <w:proofErr w:type="spellStart"/>
            <w:r w:rsidRPr="00494D8C">
              <w:rPr>
                <w:lang w:val="it-IT"/>
              </w:rPr>
              <w:t>Norway</w:t>
            </w:r>
            <w:proofErr w:type="spellEnd"/>
          </w:p>
          <w:p w14:paraId="7EB2AB3C" w14:textId="77777777" w:rsidR="00833787" w:rsidRPr="00494D8C" w:rsidRDefault="00833787" w:rsidP="00B86868">
            <w:pPr>
              <w:pStyle w:val="NormalOCAshurst"/>
              <w:jc w:val="center"/>
              <w:rPr>
                <w:b/>
                <w:lang w:val="it-IT"/>
              </w:rPr>
            </w:pPr>
          </w:p>
        </w:tc>
        <w:tc>
          <w:tcPr>
            <w:tcW w:w="2756" w:type="dxa"/>
          </w:tcPr>
          <w:p w14:paraId="2760240C" w14:textId="77777777" w:rsidR="00833787" w:rsidRPr="00494D8C" w:rsidRDefault="00833787" w:rsidP="00B86868">
            <w:pPr>
              <w:pStyle w:val="StandardOCAshurst"/>
              <w:jc w:val="center"/>
              <w:rPr>
                <w:b/>
                <w:lang w:val="da-DK"/>
              </w:rPr>
            </w:pPr>
            <w:r w:rsidRPr="00494D8C">
              <w:rPr>
                <w:b/>
                <w:lang w:val="da-DK"/>
              </w:rPr>
              <w:t>Advokatfirmaet DLA Piper Norway DA</w:t>
            </w:r>
          </w:p>
          <w:p w14:paraId="2E53A585" w14:textId="77777777" w:rsidR="00833787" w:rsidRPr="00494D8C" w:rsidRDefault="00833787" w:rsidP="00B86868">
            <w:pPr>
              <w:pStyle w:val="StandardOCAshurst"/>
              <w:jc w:val="center"/>
              <w:rPr>
                <w:lang w:val="da-DK"/>
              </w:rPr>
            </w:pPr>
            <w:r w:rsidRPr="00494D8C">
              <w:rPr>
                <w:lang w:val="da-DK"/>
              </w:rPr>
              <w:t>Bryggegata 6,</w:t>
            </w:r>
          </w:p>
          <w:p w14:paraId="5A01ABE4" w14:textId="77777777" w:rsidR="00833787" w:rsidRPr="00494D8C" w:rsidRDefault="00833787" w:rsidP="00B86868">
            <w:pPr>
              <w:pStyle w:val="StandardOCAshurst"/>
              <w:jc w:val="center"/>
              <w:rPr>
                <w:lang w:val="pt-BR"/>
              </w:rPr>
            </w:pPr>
            <w:r w:rsidRPr="00494D8C">
              <w:rPr>
                <w:lang w:val="pt-BR"/>
              </w:rPr>
              <w:t>N-0250 Oslo</w:t>
            </w:r>
          </w:p>
          <w:p w14:paraId="0D2C3C19" w14:textId="77777777" w:rsidR="00833787" w:rsidRPr="00494D8C" w:rsidRDefault="00833787" w:rsidP="00B86868">
            <w:pPr>
              <w:pStyle w:val="StandardOCAshurst"/>
              <w:jc w:val="center"/>
              <w:rPr>
                <w:lang w:val="pt-BR"/>
              </w:rPr>
            </w:pPr>
            <w:proofErr w:type="spellStart"/>
            <w:r w:rsidRPr="00494D8C">
              <w:rPr>
                <w:lang w:val="pt-BR"/>
              </w:rPr>
              <w:t>P.O</w:t>
            </w:r>
            <w:proofErr w:type="spellEnd"/>
            <w:r w:rsidRPr="00494D8C">
              <w:rPr>
                <w:lang w:val="pt-BR"/>
              </w:rPr>
              <w:t xml:space="preserve">. Box 1364 </w:t>
            </w:r>
            <w:proofErr w:type="spellStart"/>
            <w:r w:rsidRPr="00494D8C">
              <w:rPr>
                <w:lang w:val="pt-BR"/>
              </w:rPr>
              <w:t>Vika</w:t>
            </w:r>
            <w:proofErr w:type="spellEnd"/>
          </w:p>
          <w:p w14:paraId="750A3EA1" w14:textId="77777777" w:rsidR="00833787" w:rsidRPr="00494D8C" w:rsidRDefault="00833787" w:rsidP="00B86868">
            <w:pPr>
              <w:pStyle w:val="StandardOCAshurst"/>
              <w:jc w:val="center"/>
            </w:pPr>
            <w:r w:rsidRPr="00494D8C">
              <w:t>N-0114 Oslo</w:t>
            </w:r>
          </w:p>
          <w:p w14:paraId="2511A57E" w14:textId="77777777" w:rsidR="00833787" w:rsidRPr="00494D8C" w:rsidRDefault="00833787" w:rsidP="00B86868">
            <w:pPr>
              <w:pStyle w:val="StandardOCAshurst"/>
              <w:jc w:val="center"/>
            </w:pPr>
            <w:r w:rsidRPr="00494D8C">
              <w:t>Norway</w:t>
            </w:r>
          </w:p>
          <w:p w14:paraId="3106A81E" w14:textId="77777777" w:rsidR="00833787" w:rsidRPr="00494D8C" w:rsidRDefault="00833787" w:rsidP="00B86868">
            <w:pPr>
              <w:pStyle w:val="StandardOCAshurst"/>
              <w:jc w:val="center"/>
              <w:rPr>
                <w:b/>
              </w:rPr>
            </w:pPr>
          </w:p>
        </w:tc>
      </w:tr>
      <w:tr w:rsidR="00833787" w:rsidRPr="00494D8C" w14:paraId="62A7EBBB" w14:textId="77777777" w:rsidTr="00B86868">
        <w:tc>
          <w:tcPr>
            <w:tcW w:w="8306" w:type="dxa"/>
            <w:gridSpan w:val="3"/>
          </w:tcPr>
          <w:p w14:paraId="43242BB4" w14:textId="77777777" w:rsidR="00833787" w:rsidRPr="00494D8C" w:rsidRDefault="00833787" w:rsidP="00B86868">
            <w:pPr>
              <w:pStyle w:val="StandardOCAshurst"/>
              <w:jc w:val="center"/>
              <w:rPr>
                <w:b/>
                <w:i/>
              </w:rPr>
            </w:pPr>
            <w:r w:rsidRPr="00494D8C">
              <w:rPr>
                <w:b/>
                <w:i/>
              </w:rPr>
              <w:t>In respect of Swedish Securities:</w:t>
            </w:r>
          </w:p>
          <w:p w14:paraId="5DAD7680" w14:textId="77777777" w:rsidR="00833787" w:rsidRPr="00494D8C" w:rsidRDefault="00833787" w:rsidP="00B86868">
            <w:pPr>
              <w:pStyle w:val="StandardOCAshurst"/>
              <w:jc w:val="center"/>
              <w:rPr>
                <w:b/>
              </w:rPr>
            </w:pPr>
          </w:p>
        </w:tc>
      </w:tr>
      <w:tr w:rsidR="00833787" w:rsidRPr="00494D8C" w14:paraId="566841DD" w14:textId="77777777" w:rsidTr="00B86868">
        <w:tc>
          <w:tcPr>
            <w:tcW w:w="2768" w:type="dxa"/>
          </w:tcPr>
          <w:p w14:paraId="5F0B5FF7" w14:textId="77777777" w:rsidR="00833787" w:rsidRPr="00494D8C" w:rsidRDefault="00833787" w:rsidP="00B86868">
            <w:pPr>
              <w:pStyle w:val="StandardOCAshurst"/>
              <w:jc w:val="center"/>
              <w:rPr>
                <w:b/>
              </w:rPr>
            </w:pPr>
            <w:r w:rsidRPr="00494D8C">
              <w:rPr>
                <w:b/>
              </w:rPr>
              <w:t>Swedish Programme Agent</w:t>
            </w:r>
          </w:p>
        </w:tc>
        <w:tc>
          <w:tcPr>
            <w:tcW w:w="2782" w:type="dxa"/>
          </w:tcPr>
          <w:p w14:paraId="526D6A4F" w14:textId="77777777" w:rsidR="00833787" w:rsidRPr="00494D8C" w:rsidRDefault="00833787" w:rsidP="00B86868">
            <w:pPr>
              <w:pStyle w:val="StandardOCAshurst"/>
              <w:jc w:val="center"/>
              <w:rPr>
                <w:b/>
              </w:rPr>
            </w:pPr>
            <w:r w:rsidRPr="00494D8C">
              <w:rPr>
                <w:b/>
              </w:rPr>
              <w:t>Swedish Registrar</w:t>
            </w:r>
          </w:p>
        </w:tc>
        <w:tc>
          <w:tcPr>
            <w:tcW w:w="2756" w:type="dxa"/>
          </w:tcPr>
          <w:p w14:paraId="4A9441E6" w14:textId="77777777" w:rsidR="00833787" w:rsidRPr="00494D8C" w:rsidRDefault="00833787" w:rsidP="00B86868">
            <w:pPr>
              <w:pStyle w:val="StandardOCAshurst"/>
              <w:jc w:val="center"/>
            </w:pPr>
            <w:r w:rsidRPr="00494D8C">
              <w:rPr>
                <w:b/>
              </w:rPr>
              <w:t>Legal Adviser to the Issuers</w:t>
            </w:r>
          </w:p>
          <w:p w14:paraId="34B0EF4B" w14:textId="77777777" w:rsidR="00833787" w:rsidRPr="00494D8C" w:rsidRDefault="00833787" w:rsidP="00B86868">
            <w:pPr>
              <w:pStyle w:val="StandardOCAshurst"/>
              <w:jc w:val="center"/>
              <w:rPr>
                <w:i/>
              </w:rPr>
            </w:pPr>
            <w:r w:rsidRPr="00494D8C">
              <w:rPr>
                <w:i/>
              </w:rPr>
              <w:t>in respect of Swedish law</w:t>
            </w:r>
          </w:p>
          <w:p w14:paraId="02D8E8D1" w14:textId="77777777" w:rsidR="00833787" w:rsidRPr="00494D8C" w:rsidRDefault="00833787" w:rsidP="00B86868">
            <w:pPr>
              <w:pStyle w:val="StandardOCAshurst"/>
              <w:jc w:val="center"/>
              <w:rPr>
                <w:b/>
              </w:rPr>
            </w:pPr>
          </w:p>
        </w:tc>
      </w:tr>
      <w:tr w:rsidR="00833787" w:rsidRPr="00494D8C" w14:paraId="1ECEC0B4" w14:textId="77777777" w:rsidTr="00B86868">
        <w:tc>
          <w:tcPr>
            <w:tcW w:w="2768" w:type="dxa"/>
          </w:tcPr>
          <w:p w14:paraId="78B38E01" w14:textId="77777777" w:rsidR="00833787" w:rsidRPr="00494D8C" w:rsidRDefault="00833787" w:rsidP="00B86868">
            <w:pPr>
              <w:pStyle w:val="StandardOCAshurst"/>
              <w:jc w:val="center"/>
              <w:rPr>
                <w:b/>
                <w:lang w:val="da-DK"/>
              </w:rPr>
            </w:pPr>
            <w:r w:rsidRPr="00494D8C">
              <w:rPr>
                <w:b/>
                <w:lang w:val="da-DK"/>
              </w:rPr>
              <w:t>Skandinaviska Enskilda Banken AB (publ)</w:t>
            </w:r>
          </w:p>
          <w:p w14:paraId="1B5BC197" w14:textId="77777777" w:rsidR="00833787" w:rsidRPr="00494D8C" w:rsidRDefault="00833787" w:rsidP="00B86868">
            <w:pPr>
              <w:pStyle w:val="StandardOCAshurst"/>
              <w:jc w:val="center"/>
              <w:rPr>
                <w:lang w:val="da-DK"/>
              </w:rPr>
            </w:pPr>
            <w:r w:rsidRPr="00494D8C">
              <w:rPr>
                <w:lang w:val="da-DK"/>
              </w:rPr>
              <w:t>Investor Services, A-S12</w:t>
            </w:r>
          </w:p>
          <w:p w14:paraId="2A1E6FD6" w14:textId="77777777" w:rsidR="00833787" w:rsidRPr="00494D8C" w:rsidRDefault="00833787" w:rsidP="00B86868">
            <w:pPr>
              <w:pStyle w:val="StandardOCAshurst"/>
              <w:jc w:val="center"/>
              <w:rPr>
                <w:lang w:val="da-DK"/>
              </w:rPr>
            </w:pPr>
            <w:r w:rsidRPr="00494D8C">
              <w:rPr>
                <w:lang w:val="da-DK"/>
              </w:rPr>
              <w:t xml:space="preserve">Råsta Strandväg 5 </w:t>
            </w:r>
          </w:p>
          <w:p w14:paraId="6CB51E23" w14:textId="77777777" w:rsidR="00833787" w:rsidRPr="00494D8C" w:rsidRDefault="00833787" w:rsidP="00B86868">
            <w:pPr>
              <w:pStyle w:val="StandardOCAshurst"/>
              <w:jc w:val="center"/>
            </w:pPr>
            <w:r w:rsidRPr="00494D8C">
              <w:t xml:space="preserve">SE-169 79, Solna </w:t>
            </w:r>
          </w:p>
          <w:p w14:paraId="7B5203CC" w14:textId="77777777" w:rsidR="00833787" w:rsidRPr="00494D8C" w:rsidRDefault="00833787" w:rsidP="00B86868">
            <w:pPr>
              <w:pStyle w:val="StandardOCAshurst"/>
              <w:jc w:val="center"/>
            </w:pPr>
            <w:r w:rsidRPr="00494D8C">
              <w:t>Sweden</w:t>
            </w:r>
          </w:p>
          <w:p w14:paraId="14689648" w14:textId="77777777" w:rsidR="00833787" w:rsidRPr="00494D8C" w:rsidRDefault="00833787" w:rsidP="00B86868">
            <w:pPr>
              <w:pStyle w:val="StandardOCAshurst"/>
              <w:jc w:val="center"/>
              <w:rPr>
                <w:b/>
              </w:rPr>
            </w:pPr>
          </w:p>
        </w:tc>
        <w:tc>
          <w:tcPr>
            <w:tcW w:w="2782" w:type="dxa"/>
          </w:tcPr>
          <w:p w14:paraId="0B5A14A9" w14:textId="77777777" w:rsidR="00833787" w:rsidRPr="00494D8C" w:rsidRDefault="00833787" w:rsidP="00B86868">
            <w:pPr>
              <w:pStyle w:val="StandardOCAshurst"/>
              <w:jc w:val="center"/>
              <w:rPr>
                <w:lang w:val="de-DE"/>
              </w:rPr>
            </w:pPr>
            <w:proofErr w:type="spellStart"/>
            <w:r w:rsidRPr="00494D8C">
              <w:rPr>
                <w:b/>
                <w:lang w:val="de-DE"/>
              </w:rPr>
              <w:t>Euroclear</w:t>
            </w:r>
            <w:proofErr w:type="spellEnd"/>
            <w:r w:rsidRPr="00494D8C">
              <w:rPr>
                <w:b/>
                <w:lang w:val="de-DE"/>
              </w:rPr>
              <w:t xml:space="preserve"> </w:t>
            </w:r>
            <w:proofErr w:type="spellStart"/>
            <w:r w:rsidRPr="00494D8C">
              <w:rPr>
                <w:b/>
                <w:lang w:val="de-DE"/>
              </w:rPr>
              <w:t>Sweden</w:t>
            </w:r>
            <w:proofErr w:type="spellEnd"/>
            <w:r w:rsidRPr="00494D8C">
              <w:rPr>
                <w:b/>
                <w:lang w:val="de-DE"/>
              </w:rPr>
              <w:t xml:space="preserve"> AB</w:t>
            </w:r>
          </w:p>
          <w:p w14:paraId="19D75C55" w14:textId="77777777" w:rsidR="00833787" w:rsidRPr="00494D8C" w:rsidRDefault="00833787" w:rsidP="00B86868">
            <w:pPr>
              <w:pStyle w:val="StandardOCAshurst"/>
              <w:jc w:val="center"/>
              <w:rPr>
                <w:lang w:val="de-DE"/>
              </w:rPr>
            </w:pPr>
            <w:proofErr w:type="spellStart"/>
            <w:r w:rsidRPr="00494D8C">
              <w:rPr>
                <w:lang w:val="de-DE"/>
              </w:rPr>
              <w:t>Klarabergsviadukten</w:t>
            </w:r>
            <w:proofErr w:type="spellEnd"/>
            <w:r w:rsidRPr="00494D8C">
              <w:rPr>
                <w:lang w:val="de-DE"/>
              </w:rPr>
              <w:t xml:space="preserve"> 63,</w:t>
            </w:r>
          </w:p>
          <w:p w14:paraId="75FDE08C" w14:textId="77777777" w:rsidR="00833787" w:rsidRPr="00494D8C" w:rsidRDefault="00833787" w:rsidP="00B86868">
            <w:pPr>
              <w:pStyle w:val="StandardOCAshurst"/>
              <w:jc w:val="center"/>
              <w:rPr>
                <w:lang w:val="de-DE"/>
              </w:rPr>
            </w:pPr>
            <w:r w:rsidRPr="00494D8C">
              <w:rPr>
                <w:lang w:val="de-DE"/>
              </w:rPr>
              <w:t>Box 191</w:t>
            </w:r>
          </w:p>
          <w:p w14:paraId="279C597D" w14:textId="77777777" w:rsidR="00833787" w:rsidRPr="00494D8C" w:rsidRDefault="00833787" w:rsidP="00B86868">
            <w:pPr>
              <w:pStyle w:val="StandardOCAshurst"/>
              <w:jc w:val="center"/>
            </w:pPr>
            <w:r w:rsidRPr="00494D8C">
              <w:t>SE-101 23 Stockholm</w:t>
            </w:r>
          </w:p>
          <w:p w14:paraId="3421E95A" w14:textId="77777777" w:rsidR="00833787" w:rsidRPr="00494D8C" w:rsidRDefault="00833787" w:rsidP="00B86868">
            <w:pPr>
              <w:pStyle w:val="StandardOCAshurst"/>
              <w:jc w:val="center"/>
            </w:pPr>
            <w:r w:rsidRPr="00494D8C">
              <w:t>Sweden</w:t>
            </w:r>
          </w:p>
          <w:p w14:paraId="1401EC7A" w14:textId="77777777" w:rsidR="00833787" w:rsidRPr="00494D8C" w:rsidRDefault="00833787" w:rsidP="00B86868">
            <w:pPr>
              <w:pStyle w:val="StandardOCAshurst"/>
              <w:jc w:val="center"/>
              <w:rPr>
                <w:b/>
              </w:rPr>
            </w:pPr>
          </w:p>
        </w:tc>
        <w:tc>
          <w:tcPr>
            <w:tcW w:w="2756" w:type="dxa"/>
          </w:tcPr>
          <w:p w14:paraId="28D9C270" w14:textId="77777777" w:rsidR="00833787" w:rsidRPr="00494D8C" w:rsidRDefault="00833787" w:rsidP="00B86868">
            <w:pPr>
              <w:pStyle w:val="StandardOCAshurst"/>
              <w:jc w:val="center"/>
              <w:rPr>
                <w:b/>
                <w:lang w:val="da-DK"/>
              </w:rPr>
            </w:pPr>
            <w:r w:rsidRPr="00494D8C">
              <w:rPr>
                <w:b/>
                <w:lang w:val="da-DK"/>
              </w:rPr>
              <w:t>AG Advokat KB</w:t>
            </w:r>
          </w:p>
          <w:p w14:paraId="45050C6B" w14:textId="77777777" w:rsidR="00833787" w:rsidRPr="00494D8C" w:rsidRDefault="00833787" w:rsidP="00B86868">
            <w:pPr>
              <w:pStyle w:val="StandardOCAshurst"/>
              <w:jc w:val="center"/>
              <w:rPr>
                <w:bCs/>
                <w:lang w:val="da-DK"/>
              </w:rPr>
            </w:pPr>
            <w:r w:rsidRPr="00494D8C">
              <w:rPr>
                <w:bCs/>
                <w:lang w:val="da-DK"/>
              </w:rPr>
              <w:t>Regeringsgatan 38</w:t>
            </w:r>
          </w:p>
          <w:p w14:paraId="6DBA3484" w14:textId="77777777" w:rsidR="00833787" w:rsidRPr="00494D8C" w:rsidRDefault="00833787" w:rsidP="00B86868">
            <w:pPr>
              <w:pStyle w:val="StandardOCAshurst"/>
              <w:jc w:val="center"/>
              <w:rPr>
                <w:bCs/>
                <w:lang w:val="da-DK"/>
              </w:rPr>
            </w:pPr>
            <w:r w:rsidRPr="00494D8C">
              <w:rPr>
                <w:bCs/>
                <w:lang w:val="da-DK"/>
              </w:rPr>
              <w:t>Box 3124</w:t>
            </w:r>
          </w:p>
          <w:p w14:paraId="1B7DAF61" w14:textId="77777777" w:rsidR="00833787" w:rsidRPr="00494D8C" w:rsidRDefault="00833787" w:rsidP="00B86868">
            <w:pPr>
              <w:pStyle w:val="StandardOCAshurst"/>
              <w:jc w:val="center"/>
              <w:rPr>
                <w:bCs/>
              </w:rPr>
            </w:pPr>
            <w:r w:rsidRPr="00494D8C">
              <w:rPr>
                <w:bCs/>
              </w:rPr>
              <w:t>SE-103 62</w:t>
            </w:r>
          </w:p>
          <w:p w14:paraId="3FBDE6CB" w14:textId="77777777" w:rsidR="00833787" w:rsidRPr="00494D8C" w:rsidRDefault="00833787" w:rsidP="00B86868">
            <w:pPr>
              <w:pStyle w:val="StandardOCAshurst"/>
              <w:jc w:val="center"/>
              <w:rPr>
                <w:bCs/>
              </w:rPr>
            </w:pPr>
            <w:r w:rsidRPr="00494D8C">
              <w:rPr>
                <w:bCs/>
              </w:rPr>
              <w:t>Stockholm</w:t>
            </w:r>
          </w:p>
          <w:p w14:paraId="734BC951" w14:textId="77777777" w:rsidR="00833787" w:rsidRPr="00494D8C" w:rsidRDefault="00833787" w:rsidP="00B86868">
            <w:pPr>
              <w:pStyle w:val="StandardOCAshurst"/>
              <w:jc w:val="center"/>
              <w:rPr>
                <w:bCs/>
              </w:rPr>
            </w:pPr>
            <w:r w:rsidRPr="00494D8C">
              <w:rPr>
                <w:bCs/>
              </w:rPr>
              <w:t>Sweden</w:t>
            </w:r>
          </w:p>
          <w:p w14:paraId="3D7724E2" w14:textId="77777777" w:rsidR="00833787" w:rsidRPr="00494D8C" w:rsidRDefault="00833787" w:rsidP="00B86868">
            <w:pPr>
              <w:pStyle w:val="StandardOCAshurst"/>
              <w:jc w:val="center"/>
              <w:rPr>
                <w:b/>
              </w:rPr>
            </w:pPr>
          </w:p>
        </w:tc>
      </w:tr>
      <w:tr w:rsidR="00833787" w:rsidRPr="00494D8C" w14:paraId="747780F7" w14:textId="77777777" w:rsidTr="00B86868">
        <w:tc>
          <w:tcPr>
            <w:tcW w:w="8306" w:type="dxa"/>
            <w:gridSpan w:val="3"/>
          </w:tcPr>
          <w:p w14:paraId="7CC3819E" w14:textId="77777777" w:rsidR="00833787" w:rsidRPr="00494D8C" w:rsidRDefault="00833787" w:rsidP="00B86868">
            <w:pPr>
              <w:pStyle w:val="StandardOCAshurst"/>
              <w:jc w:val="center"/>
              <w:rPr>
                <w:b/>
                <w:i/>
              </w:rPr>
            </w:pPr>
            <w:r w:rsidRPr="00494D8C">
              <w:rPr>
                <w:b/>
                <w:i/>
              </w:rPr>
              <w:t>In respect of Finnish Securities:</w:t>
            </w:r>
          </w:p>
          <w:p w14:paraId="73508E7F" w14:textId="77777777" w:rsidR="00833787" w:rsidRPr="00494D8C" w:rsidRDefault="00833787" w:rsidP="00B86868">
            <w:pPr>
              <w:pStyle w:val="StandardOCAshurst"/>
              <w:jc w:val="center"/>
              <w:rPr>
                <w:b/>
              </w:rPr>
            </w:pPr>
          </w:p>
        </w:tc>
      </w:tr>
      <w:tr w:rsidR="00833787" w:rsidRPr="00494D8C" w14:paraId="2A9C0C79" w14:textId="77777777" w:rsidTr="00B86868">
        <w:tc>
          <w:tcPr>
            <w:tcW w:w="2768" w:type="dxa"/>
          </w:tcPr>
          <w:p w14:paraId="279B740D" w14:textId="77777777" w:rsidR="00833787" w:rsidRPr="00494D8C" w:rsidRDefault="00833787" w:rsidP="00B86868">
            <w:pPr>
              <w:pStyle w:val="StandardOCAshurst"/>
              <w:jc w:val="center"/>
              <w:rPr>
                <w:b/>
              </w:rPr>
            </w:pPr>
            <w:r w:rsidRPr="00494D8C">
              <w:rPr>
                <w:b/>
              </w:rPr>
              <w:t>Finnish Programme Agent</w:t>
            </w:r>
          </w:p>
        </w:tc>
        <w:tc>
          <w:tcPr>
            <w:tcW w:w="2782" w:type="dxa"/>
          </w:tcPr>
          <w:p w14:paraId="11BFD4FE" w14:textId="77777777" w:rsidR="00833787" w:rsidRPr="00494D8C" w:rsidRDefault="00833787" w:rsidP="00B86868">
            <w:pPr>
              <w:pStyle w:val="StandardOCAshurst"/>
              <w:jc w:val="center"/>
              <w:rPr>
                <w:b/>
              </w:rPr>
            </w:pPr>
            <w:r w:rsidRPr="00494D8C">
              <w:rPr>
                <w:b/>
              </w:rPr>
              <w:t>Finnish Registrar</w:t>
            </w:r>
          </w:p>
        </w:tc>
        <w:tc>
          <w:tcPr>
            <w:tcW w:w="2756" w:type="dxa"/>
          </w:tcPr>
          <w:p w14:paraId="075AC594" w14:textId="77777777" w:rsidR="00833787" w:rsidRPr="00494D8C" w:rsidRDefault="00833787" w:rsidP="00B86868">
            <w:pPr>
              <w:pStyle w:val="StandardOCAshurst"/>
              <w:jc w:val="center"/>
            </w:pPr>
            <w:r w:rsidRPr="00494D8C">
              <w:rPr>
                <w:b/>
              </w:rPr>
              <w:t>Legal Advisers to the Issuers</w:t>
            </w:r>
          </w:p>
          <w:p w14:paraId="405A862C" w14:textId="77777777" w:rsidR="00833787" w:rsidRPr="00494D8C" w:rsidRDefault="00833787" w:rsidP="00B86868">
            <w:pPr>
              <w:pStyle w:val="StandardOCAshurst"/>
              <w:jc w:val="center"/>
              <w:rPr>
                <w:i/>
              </w:rPr>
            </w:pPr>
            <w:r w:rsidRPr="00494D8C">
              <w:rPr>
                <w:i/>
              </w:rPr>
              <w:t>in respect of Finnish law</w:t>
            </w:r>
          </w:p>
          <w:p w14:paraId="6BDA23CB" w14:textId="77777777" w:rsidR="00833787" w:rsidRPr="00494D8C" w:rsidRDefault="00833787" w:rsidP="00B86868">
            <w:pPr>
              <w:pStyle w:val="StandardOCAshurst"/>
              <w:jc w:val="center"/>
              <w:rPr>
                <w:b/>
              </w:rPr>
            </w:pPr>
          </w:p>
        </w:tc>
      </w:tr>
      <w:tr w:rsidR="00833787" w:rsidRPr="00494D8C" w14:paraId="4589C404" w14:textId="77777777" w:rsidTr="00B86868">
        <w:tc>
          <w:tcPr>
            <w:tcW w:w="2768" w:type="dxa"/>
          </w:tcPr>
          <w:p w14:paraId="3F973CD2" w14:textId="77777777" w:rsidR="00833787" w:rsidRPr="00494D8C" w:rsidRDefault="00833787" w:rsidP="00B86868">
            <w:pPr>
              <w:pStyle w:val="StandardOCAshurst"/>
              <w:jc w:val="center"/>
              <w:rPr>
                <w:b/>
                <w:lang w:val="de-DE"/>
              </w:rPr>
            </w:pPr>
            <w:proofErr w:type="spellStart"/>
            <w:r w:rsidRPr="00494D8C">
              <w:rPr>
                <w:b/>
                <w:lang w:val="de-DE"/>
              </w:rPr>
              <w:t>Skandinaviska</w:t>
            </w:r>
            <w:proofErr w:type="spellEnd"/>
            <w:r w:rsidRPr="00494D8C">
              <w:rPr>
                <w:b/>
                <w:lang w:val="de-DE"/>
              </w:rPr>
              <w:t xml:space="preserve"> </w:t>
            </w:r>
            <w:proofErr w:type="spellStart"/>
            <w:r w:rsidRPr="00494D8C">
              <w:rPr>
                <w:b/>
                <w:lang w:val="de-DE"/>
              </w:rPr>
              <w:t>Enskilda</w:t>
            </w:r>
            <w:proofErr w:type="spellEnd"/>
            <w:r w:rsidRPr="00494D8C">
              <w:rPr>
                <w:b/>
                <w:lang w:val="de-DE"/>
              </w:rPr>
              <w:t xml:space="preserve"> Banken AB (</w:t>
            </w:r>
            <w:proofErr w:type="spellStart"/>
            <w:r w:rsidRPr="00494D8C">
              <w:rPr>
                <w:b/>
                <w:lang w:val="de-DE"/>
              </w:rPr>
              <w:t>publ</w:t>
            </w:r>
            <w:proofErr w:type="spellEnd"/>
            <w:r w:rsidRPr="00494D8C">
              <w:rPr>
                <w:b/>
                <w:lang w:val="de-DE"/>
              </w:rPr>
              <w:t>)</w:t>
            </w:r>
          </w:p>
          <w:p w14:paraId="28052D57" w14:textId="77777777" w:rsidR="00833787" w:rsidRPr="00494D8C" w:rsidRDefault="00833787" w:rsidP="00B86868">
            <w:pPr>
              <w:pStyle w:val="StandardOCAshurst"/>
              <w:jc w:val="center"/>
            </w:pPr>
            <w:r w:rsidRPr="00494D8C">
              <w:t>Helsinki Branch</w:t>
            </w:r>
          </w:p>
          <w:p w14:paraId="69A92F68" w14:textId="77777777" w:rsidR="00833787" w:rsidRPr="00494D8C" w:rsidRDefault="00833787" w:rsidP="00B86868">
            <w:pPr>
              <w:pStyle w:val="StandardOCAshurst"/>
              <w:jc w:val="center"/>
            </w:pPr>
            <w:r w:rsidRPr="00494D8C">
              <w:t xml:space="preserve"> Investor Services </w:t>
            </w:r>
            <w:proofErr w:type="spellStart"/>
            <w:r w:rsidRPr="00494D8C">
              <w:t>Eteläesplanadi</w:t>
            </w:r>
            <w:proofErr w:type="spellEnd"/>
            <w:r w:rsidRPr="00494D8C">
              <w:t xml:space="preserve"> 18 </w:t>
            </w:r>
          </w:p>
          <w:p w14:paraId="1A8C8997" w14:textId="77777777" w:rsidR="00833787" w:rsidRPr="00494D8C" w:rsidRDefault="00833787" w:rsidP="00B86868">
            <w:pPr>
              <w:pStyle w:val="StandardOCAshurst"/>
              <w:jc w:val="center"/>
            </w:pPr>
            <w:r w:rsidRPr="00494D8C">
              <w:t>FI-00130 Helsinki</w:t>
            </w:r>
          </w:p>
          <w:p w14:paraId="1C873369" w14:textId="77777777" w:rsidR="00833787" w:rsidRPr="00494D8C" w:rsidRDefault="00833787" w:rsidP="00B86868">
            <w:pPr>
              <w:pStyle w:val="StandardOCAshurst"/>
              <w:jc w:val="center"/>
            </w:pPr>
            <w:r w:rsidRPr="00494D8C">
              <w:t>Finland</w:t>
            </w:r>
          </w:p>
          <w:p w14:paraId="09CBF68D" w14:textId="77777777" w:rsidR="00833787" w:rsidRPr="00494D8C" w:rsidRDefault="00833787" w:rsidP="00B86868">
            <w:pPr>
              <w:pStyle w:val="StandardOCAshurst"/>
              <w:jc w:val="center"/>
            </w:pPr>
          </w:p>
        </w:tc>
        <w:tc>
          <w:tcPr>
            <w:tcW w:w="2782" w:type="dxa"/>
          </w:tcPr>
          <w:p w14:paraId="70BE238F" w14:textId="77777777" w:rsidR="00833787" w:rsidRPr="00494D8C" w:rsidRDefault="00833787" w:rsidP="00B86868">
            <w:pPr>
              <w:pStyle w:val="StandardOCAshurst"/>
              <w:jc w:val="center"/>
              <w:rPr>
                <w:lang w:val="de-DE"/>
              </w:rPr>
            </w:pPr>
            <w:proofErr w:type="spellStart"/>
            <w:r w:rsidRPr="00494D8C">
              <w:rPr>
                <w:b/>
                <w:lang w:val="de-DE"/>
              </w:rPr>
              <w:t>Euroclear</w:t>
            </w:r>
            <w:proofErr w:type="spellEnd"/>
            <w:r w:rsidRPr="00494D8C">
              <w:rPr>
                <w:b/>
                <w:lang w:val="de-DE"/>
              </w:rPr>
              <w:t xml:space="preserve"> </w:t>
            </w:r>
            <w:proofErr w:type="spellStart"/>
            <w:r w:rsidRPr="00494D8C">
              <w:rPr>
                <w:b/>
                <w:lang w:val="de-DE"/>
              </w:rPr>
              <w:t>Finland</w:t>
            </w:r>
            <w:proofErr w:type="spellEnd"/>
            <w:r w:rsidRPr="00494D8C">
              <w:rPr>
                <w:b/>
                <w:lang w:val="de-DE"/>
              </w:rPr>
              <w:t xml:space="preserve"> Oy</w:t>
            </w:r>
          </w:p>
          <w:p w14:paraId="496728D3" w14:textId="77777777" w:rsidR="00833787" w:rsidRPr="00494D8C" w:rsidRDefault="00833787" w:rsidP="00B86868">
            <w:pPr>
              <w:pStyle w:val="StandardOCAshurst"/>
              <w:jc w:val="center"/>
              <w:rPr>
                <w:lang w:val="de-DE"/>
              </w:rPr>
            </w:pPr>
            <w:proofErr w:type="spellStart"/>
            <w:r w:rsidRPr="00494D8C">
              <w:rPr>
                <w:lang w:val="de-DE"/>
              </w:rPr>
              <w:t>Urho</w:t>
            </w:r>
            <w:proofErr w:type="spellEnd"/>
            <w:r w:rsidRPr="00494D8C">
              <w:rPr>
                <w:lang w:val="de-DE"/>
              </w:rPr>
              <w:t xml:space="preserve"> </w:t>
            </w:r>
            <w:proofErr w:type="spellStart"/>
            <w:r w:rsidRPr="00494D8C">
              <w:rPr>
                <w:lang w:val="de-DE"/>
              </w:rPr>
              <w:t>Kekkosen</w:t>
            </w:r>
            <w:proofErr w:type="spellEnd"/>
            <w:r w:rsidRPr="00494D8C">
              <w:rPr>
                <w:lang w:val="de-DE"/>
              </w:rPr>
              <w:t xml:space="preserve"> </w:t>
            </w:r>
            <w:proofErr w:type="spellStart"/>
            <w:r w:rsidRPr="00494D8C">
              <w:rPr>
                <w:lang w:val="de-DE"/>
              </w:rPr>
              <w:t>katu</w:t>
            </w:r>
            <w:proofErr w:type="spellEnd"/>
            <w:r w:rsidRPr="00494D8C">
              <w:rPr>
                <w:lang w:val="de-DE"/>
              </w:rPr>
              <w:t xml:space="preserve"> 5 C</w:t>
            </w:r>
          </w:p>
          <w:p w14:paraId="1595F481" w14:textId="77777777" w:rsidR="00833787" w:rsidRPr="00494D8C" w:rsidRDefault="00833787" w:rsidP="00B86868">
            <w:pPr>
              <w:pStyle w:val="StandardOCAshurst"/>
              <w:jc w:val="center"/>
            </w:pPr>
            <w:r w:rsidRPr="00494D8C">
              <w:t>00100 Helsinki</w:t>
            </w:r>
          </w:p>
          <w:p w14:paraId="34D1C823" w14:textId="77777777" w:rsidR="00833787" w:rsidRPr="00494D8C" w:rsidRDefault="00833787" w:rsidP="00B86868">
            <w:pPr>
              <w:pStyle w:val="StandardOCAshurst"/>
              <w:jc w:val="center"/>
            </w:pPr>
            <w:r w:rsidRPr="00494D8C">
              <w:t>Finland</w:t>
            </w:r>
          </w:p>
          <w:p w14:paraId="6EF7C74B" w14:textId="77777777" w:rsidR="00833787" w:rsidRPr="00494D8C" w:rsidRDefault="00833787" w:rsidP="00B86868">
            <w:pPr>
              <w:pStyle w:val="StandardOCAshurst"/>
              <w:jc w:val="center"/>
              <w:rPr>
                <w:b/>
              </w:rPr>
            </w:pPr>
          </w:p>
        </w:tc>
        <w:tc>
          <w:tcPr>
            <w:tcW w:w="2756" w:type="dxa"/>
          </w:tcPr>
          <w:p w14:paraId="32A58D9F" w14:textId="77777777" w:rsidR="00833787" w:rsidRPr="00494D8C" w:rsidRDefault="00833787" w:rsidP="00B86868">
            <w:pPr>
              <w:pStyle w:val="StandardOCAshurst"/>
              <w:jc w:val="center"/>
              <w:rPr>
                <w:b/>
              </w:rPr>
            </w:pPr>
            <w:proofErr w:type="spellStart"/>
            <w:r w:rsidRPr="00494D8C">
              <w:rPr>
                <w:b/>
              </w:rPr>
              <w:t>Waselius</w:t>
            </w:r>
            <w:proofErr w:type="spellEnd"/>
            <w:r w:rsidRPr="00494D8C">
              <w:rPr>
                <w:b/>
              </w:rPr>
              <w:t xml:space="preserve"> &amp; </w:t>
            </w:r>
            <w:proofErr w:type="spellStart"/>
            <w:r w:rsidRPr="00494D8C">
              <w:rPr>
                <w:b/>
              </w:rPr>
              <w:t>Wist</w:t>
            </w:r>
            <w:proofErr w:type="spellEnd"/>
          </w:p>
          <w:p w14:paraId="1436CC87" w14:textId="77777777" w:rsidR="00833787" w:rsidRPr="00494D8C" w:rsidRDefault="00833787" w:rsidP="00B86868">
            <w:pPr>
              <w:pStyle w:val="StandardOCAshurst"/>
              <w:jc w:val="center"/>
            </w:pPr>
            <w:proofErr w:type="spellStart"/>
            <w:r w:rsidRPr="00494D8C">
              <w:t>Eteläesplanadi</w:t>
            </w:r>
            <w:proofErr w:type="spellEnd"/>
            <w:r w:rsidRPr="00494D8C">
              <w:t xml:space="preserve"> 24 A</w:t>
            </w:r>
          </w:p>
          <w:p w14:paraId="155120A0" w14:textId="77777777" w:rsidR="00833787" w:rsidRPr="00494D8C" w:rsidRDefault="00833787" w:rsidP="00B86868">
            <w:pPr>
              <w:pStyle w:val="StandardOCAshurst"/>
              <w:jc w:val="center"/>
            </w:pPr>
            <w:r w:rsidRPr="00494D8C">
              <w:t>00130 Helsinki</w:t>
            </w:r>
          </w:p>
          <w:p w14:paraId="645D5BD6" w14:textId="77777777" w:rsidR="00833787" w:rsidRPr="00494D8C" w:rsidRDefault="00833787" w:rsidP="00B86868">
            <w:pPr>
              <w:pStyle w:val="StandardOCAshurst"/>
              <w:jc w:val="center"/>
            </w:pPr>
            <w:r w:rsidRPr="00494D8C">
              <w:t>Finland</w:t>
            </w:r>
          </w:p>
          <w:p w14:paraId="6C99060B" w14:textId="77777777" w:rsidR="00833787" w:rsidRPr="00494D8C" w:rsidRDefault="00833787" w:rsidP="00B86868">
            <w:pPr>
              <w:pStyle w:val="StandardOCAshurst"/>
              <w:jc w:val="center"/>
              <w:rPr>
                <w:b/>
              </w:rPr>
            </w:pPr>
          </w:p>
        </w:tc>
      </w:tr>
      <w:tr w:rsidR="00833787" w:rsidRPr="00494D8C" w14:paraId="13D01FAC" w14:textId="77777777" w:rsidTr="00B86868">
        <w:tc>
          <w:tcPr>
            <w:tcW w:w="2768" w:type="dxa"/>
          </w:tcPr>
          <w:p w14:paraId="51319635" w14:textId="77777777" w:rsidR="00833787" w:rsidRPr="00494D8C" w:rsidRDefault="00833787" w:rsidP="00B86868">
            <w:pPr>
              <w:pStyle w:val="StandardOCAshurst"/>
              <w:keepNext/>
              <w:jc w:val="center"/>
            </w:pPr>
          </w:p>
        </w:tc>
        <w:tc>
          <w:tcPr>
            <w:tcW w:w="2782" w:type="dxa"/>
          </w:tcPr>
          <w:p w14:paraId="765C5767" w14:textId="77777777" w:rsidR="00833787" w:rsidRPr="00494D8C" w:rsidRDefault="00833787" w:rsidP="00B86868">
            <w:pPr>
              <w:pStyle w:val="StandardOCAshurst"/>
              <w:keepNext/>
              <w:jc w:val="center"/>
              <w:rPr>
                <w:b/>
                <w:i/>
              </w:rPr>
            </w:pPr>
            <w:r w:rsidRPr="00494D8C">
              <w:rPr>
                <w:b/>
                <w:i/>
              </w:rPr>
              <w:t>In respect of Danish Notes:</w:t>
            </w:r>
          </w:p>
          <w:p w14:paraId="4F91F6B0" w14:textId="77777777" w:rsidR="00833787" w:rsidRPr="00494D8C" w:rsidRDefault="00833787" w:rsidP="00B86868">
            <w:pPr>
              <w:pStyle w:val="StandardOCAshurst"/>
              <w:keepNext/>
              <w:jc w:val="center"/>
              <w:rPr>
                <w:b/>
              </w:rPr>
            </w:pPr>
          </w:p>
        </w:tc>
        <w:tc>
          <w:tcPr>
            <w:tcW w:w="2756" w:type="dxa"/>
          </w:tcPr>
          <w:p w14:paraId="2DB1A9E9" w14:textId="77777777" w:rsidR="00833787" w:rsidRPr="00494D8C" w:rsidRDefault="00833787" w:rsidP="00B86868">
            <w:pPr>
              <w:pStyle w:val="StandardOCAshurst"/>
              <w:keepNext/>
              <w:jc w:val="center"/>
              <w:rPr>
                <w:b/>
              </w:rPr>
            </w:pPr>
          </w:p>
        </w:tc>
      </w:tr>
      <w:tr w:rsidR="00833787" w:rsidRPr="00494D8C" w14:paraId="1EA98120" w14:textId="77777777" w:rsidTr="00B86868">
        <w:tc>
          <w:tcPr>
            <w:tcW w:w="2768" w:type="dxa"/>
          </w:tcPr>
          <w:p w14:paraId="325BBCA9" w14:textId="77777777" w:rsidR="00833787" w:rsidRPr="00494D8C" w:rsidRDefault="00833787" w:rsidP="00B86868">
            <w:pPr>
              <w:pStyle w:val="StandardOCAshurst"/>
              <w:keepNext/>
              <w:jc w:val="center"/>
            </w:pPr>
            <w:r w:rsidRPr="00494D8C">
              <w:rPr>
                <w:b/>
              </w:rPr>
              <w:t>Danish Programme Agent</w:t>
            </w:r>
          </w:p>
        </w:tc>
        <w:tc>
          <w:tcPr>
            <w:tcW w:w="2782" w:type="dxa"/>
          </w:tcPr>
          <w:p w14:paraId="04617B8F" w14:textId="77777777" w:rsidR="00833787" w:rsidRPr="00494D8C" w:rsidRDefault="00833787" w:rsidP="00B86868">
            <w:pPr>
              <w:pStyle w:val="StandardOCAshurst"/>
              <w:keepNext/>
              <w:jc w:val="center"/>
              <w:rPr>
                <w:b/>
              </w:rPr>
            </w:pPr>
            <w:r w:rsidRPr="00494D8C">
              <w:rPr>
                <w:b/>
              </w:rPr>
              <w:t>Danish Registrar</w:t>
            </w:r>
          </w:p>
        </w:tc>
        <w:tc>
          <w:tcPr>
            <w:tcW w:w="2756" w:type="dxa"/>
          </w:tcPr>
          <w:p w14:paraId="2ACDE076" w14:textId="77777777" w:rsidR="00833787" w:rsidRPr="00494D8C" w:rsidRDefault="00833787" w:rsidP="00B86868">
            <w:pPr>
              <w:pStyle w:val="StandardOCAshurst"/>
              <w:keepNext/>
              <w:jc w:val="center"/>
            </w:pPr>
            <w:r w:rsidRPr="00494D8C">
              <w:rPr>
                <w:b/>
              </w:rPr>
              <w:t>Legal Adviser to the Issuers</w:t>
            </w:r>
          </w:p>
          <w:p w14:paraId="3728DB98" w14:textId="77777777" w:rsidR="00833787" w:rsidRPr="00494D8C" w:rsidRDefault="00833787" w:rsidP="00B86868">
            <w:pPr>
              <w:pStyle w:val="StandardOCAshurst"/>
              <w:keepNext/>
              <w:jc w:val="center"/>
              <w:rPr>
                <w:i/>
              </w:rPr>
            </w:pPr>
            <w:r w:rsidRPr="00494D8C">
              <w:rPr>
                <w:i/>
              </w:rPr>
              <w:t>in respect of Danish law</w:t>
            </w:r>
          </w:p>
          <w:p w14:paraId="357D300F" w14:textId="77777777" w:rsidR="00833787" w:rsidRPr="00494D8C" w:rsidRDefault="00833787" w:rsidP="00B86868">
            <w:pPr>
              <w:pStyle w:val="StandardOCAshurst"/>
              <w:keepNext/>
              <w:jc w:val="center"/>
              <w:rPr>
                <w:b/>
              </w:rPr>
            </w:pPr>
          </w:p>
        </w:tc>
      </w:tr>
      <w:tr w:rsidR="00833787" w:rsidRPr="00494D8C" w14:paraId="4563CBC8" w14:textId="77777777" w:rsidTr="00B86868">
        <w:tc>
          <w:tcPr>
            <w:tcW w:w="2768" w:type="dxa"/>
          </w:tcPr>
          <w:p w14:paraId="67CB5BA6" w14:textId="77777777" w:rsidR="00833787" w:rsidRPr="00494D8C" w:rsidRDefault="00833787" w:rsidP="00B86868">
            <w:pPr>
              <w:pStyle w:val="StandardOCAshurst"/>
              <w:keepNext/>
              <w:jc w:val="center"/>
              <w:rPr>
                <w:b/>
                <w:lang w:val="de-DE"/>
              </w:rPr>
            </w:pPr>
            <w:proofErr w:type="spellStart"/>
            <w:r w:rsidRPr="00494D8C">
              <w:rPr>
                <w:b/>
                <w:lang w:val="de-DE"/>
              </w:rPr>
              <w:t>Skandinaviska</w:t>
            </w:r>
            <w:proofErr w:type="spellEnd"/>
            <w:r w:rsidRPr="00494D8C">
              <w:rPr>
                <w:b/>
                <w:lang w:val="de-DE"/>
              </w:rPr>
              <w:t xml:space="preserve"> </w:t>
            </w:r>
            <w:proofErr w:type="spellStart"/>
            <w:r w:rsidRPr="00494D8C">
              <w:rPr>
                <w:b/>
                <w:lang w:val="de-DE"/>
              </w:rPr>
              <w:t>Enskilda</w:t>
            </w:r>
            <w:proofErr w:type="spellEnd"/>
            <w:r w:rsidRPr="00494D8C">
              <w:rPr>
                <w:b/>
                <w:lang w:val="de-DE"/>
              </w:rPr>
              <w:t xml:space="preserve"> Banken AB (</w:t>
            </w:r>
            <w:proofErr w:type="spellStart"/>
            <w:r w:rsidRPr="00494D8C">
              <w:rPr>
                <w:b/>
                <w:lang w:val="de-DE"/>
              </w:rPr>
              <w:t>publ</w:t>
            </w:r>
            <w:proofErr w:type="spellEnd"/>
            <w:r w:rsidRPr="00494D8C">
              <w:rPr>
                <w:b/>
                <w:lang w:val="de-DE"/>
              </w:rPr>
              <w:t>)</w:t>
            </w:r>
          </w:p>
          <w:p w14:paraId="7F87E3E4" w14:textId="77777777" w:rsidR="00833787" w:rsidRPr="00494D8C" w:rsidRDefault="00833787" w:rsidP="00B86868">
            <w:pPr>
              <w:pStyle w:val="StandardOCAshurst"/>
              <w:keepNext/>
              <w:jc w:val="center"/>
              <w:rPr>
                <w:lang w:val="de-DE"/>
              </w:rPr>
            </w:pPr>
            <w:proofErr w:type="spellStart"/>
            <w:r w:rsidRPr="00494D8C">
              <w:rPr>
                <w:lang w:val="de-DE"/>
              </w:rPr>
              <w:t>Copenhagen</w:t>
            </w:r>
            <w:proofErr w:type="spellEnd"/>
            <w:r w:rsidRPr="00494D8C">
              <w:rPr>
                <w:lang w:val="de-DE"/>
              </w:rPr>
              <w:t xml:space="preserve"> Branch </w:t>
            </w:r>
          </w:p>
          <w:p w14:paraId="1B3E93F2" w14:textId="77777777" w:rsidR="00833787" w:rsidRPr="00494D8C" w:rsidRDefault="00833787" w:rsidP="00B86868">
            <w:pPr>
              <w:pStyle w:val="StandardOCAshurst"/>
              <w:keepNext/>
              <w:jc w:val="center"/>
              <w:rPr>
                <w:lang w:val="de-DE"/>
              </w:rPr>
            </w:pPr>
            <w:r w:rsidRPr="00494D8C">
              <w:rPr>
                <w:lang w:val="de-DE"/>
              </w:rPr>
              <w:t xml:space="preserve">Investor Services </w:t>
            </w:r>
            <w:proofErr w:type="spellStart"/>
            <w:r w:rsidRPr="00494D8C">
              <w:rPr>
                <w:lang w:val="de-DE"/>
              </w:rPr>
              <w:t>Bernstorffsgade</w:t>
            </w:r>
            <w:proofErr w:type="spellEnd"/>
            <w:r w:rsidRPr="00494D8C">
              <w:rPr>
                <w:lang w:val="de-DE"/>
              </w:rPr>
              <w:t xml:space="preserve"> 50</w:t>
            </w:r>
          </w:p>
          <w:p w14:paraId="4ABE76F7" w14:textId="77777777" w:rsidR="00833787" w:rsidRPr="00494D8C" w:rsidRDefault="00833787" w:rsidP="00B86868">
            <w:pPr>
              <w:pStyle w:val="StandardOCAshurst"/>
              <w:keepNext/>
              <w:jc w:val="center"/>
            </w:pPr>
            <w:r w:rsidRPr="00494D8C">
              <w:t>1577 Copenhagen V</w:t>
            </w:r>
          </w:p>
          <w:p w14:paraId="07E6C996" w14:textId="77777777" w:rsidR="00833787" w:rsidRPr="00494D8C" w:rsidRDefault="00833787" w:rsidP="00B86868">
            <w:pPr>
              <w:pStyle w:val="StandardOCAshurst"/>
              <w:keepNext/>
              <w:jc w:val="center"/>
            </w:pPr>
            <w:r w:rsidRPr="00494D8C">
              <w:t>Denmark</w:t>
            </w:r>
          </w:p>
          <w:p w14:paraId="3BD02987" w14:textId="77777777" w:rsidR="00833787" w:rsidRPr="00494D8C" w:rsidRDefault="00833787" w:rsidP="00B86868">
            <w:pPr>
              <w:pStyle w:val="StandardOCAshurst"/>
              <w:keepNext/>
              <w:jc w:val="center"/>
              <w:rPr>
                <w:b/>
              </w:rPr>
            </w:pPr>
          </w:p>
        </w:tc>
        <w:tc>
          <w:tcPr>
            <w:tcW w:w="2782" w:type="dxa"/>
          </w:tcPr>
          <w:p w14:paraId="3BD5F610" w14:textId="77777777" w:rsidR="00833787" w:rsidRPr="00494D8C" w:rsidRDefault="00833787" w:rsidP="00B86868">
            <w:pPr>
              <w:pStyle w:val="StandardOCAshurst"/>
              <w:keepNext/>
              <w:jc w:val="center"/>
              <w:rPr>
                <w:b/>
              </w:rPr>
            </w:pPr>
            <w:r w:rsidRPr="00494D8C">
              <w:rPr>
                <w:b/>
              </w:rPr>
              <w:t>Euronext Securities Copenhagen (VP Securities A/S)</w:t>
            </w:r>
          </w:p>
          <w:p w14:paraId="1A4D8B5F" w14:textId="77777777" w:rsidR="00833787" w:rsidRPr="00494D8C" w:rsidRDefault="00833787" w:rsidP="00B86868">
            <w:pPr>
              <w:pStyle w:val="StandardOCAshurst"/>
              <w:keepNext/>
              <w:jc w:val="center"/>
              <w:rPr>
                <w:lang w:val="de-DE"/>
              </w:rPr>
            </w:pPr>
            <w:r w:rsidRPr="00494D8C">
              <w:rPr>
                <w:lang w:val="de-DE"/>
              </w:rPr>
              <w:t xml:space="preserve">Nicolai </w:t>
            </w:r>
            <w:proofErr w:type="spellStart"/>
            <w:r w:rsidRPr="00494D8C">
              <w:rPr>
                <w:lang w:val="de-DE"/>
              </w:rPr>
              <w:t>Eigtveds</w:t>
            </w:r>
            <w:proofErr w:type="spellEnd"/>
            <w:r w:rsidRPr="00494D8C">
              <w:rPr>
                <w:lang w:val="de-DE"/>
              </w:rPr>
              <w:t xml:space="preserve"> </w:t>
            </w:r>
            <w:proofErr w:type="spellStart"/>
            <w:r w:rsidRPr="00494D8C">
              <w:rPr>
                <w:lang w:val="de-DE"/>
              </w:rPr>
              <w:t>Gade</w:t>
            </w:r>
            <w:proofErr w:type="spellEnd"/>
            <w:r w:rsidRPr="00494D8C">
              <w:rPr>
                <w:lang w:val="de-DE"/>
              </w:rPr>
              <w:t xml:space="preserve"> 8</w:t>
            </w:r>
          </w:p>
          <w:p w14:paraId="2BE880E6" w14:textId="77777777" w:rsidR="00833787" w:rsidRPr="00494D8C" w:rsidRDefault="00833787" w:rsidP="00B86868">
            <w:pPr>
              <w:pStyle w:val="StandardOCAshurst"/>
              <w:keepNext/>
              <w:jc w:val="center"/>
              <w:rPr>
                <w:lang w:val="de-DE"/>
              </w:rPr>
            </w:pPr>
            <w:r w:rsidRPr="00494D8C">
              <w:rPr>
                <w:lang w:val="de-DE"/>
              </w:rPr>
              <w:t xml:space="preserve">1402 </w:t>
            </w:r>
            <w:proofErr w:type="spellStart"/>
            <w:r w:rsidRPr="00494D8C">
              <w:rPr>
                <w:lang w:val="de-DE"/>
              </w:rPr>
              <w:t>Copenhagen</w:t>
            </w:r>
            <w:proofErr w:type="spellEnd"/>
            <w:r w:rsidRPr="00494D8C">
              <w:rPr>
                <w:lang w:val="de-DE"/>
              </w:rPr>
              <w:t xml:space="preserve"> K</w:t>
            </w:r>
          </w:p>
          <w:p w14:paraId="11A5B2AD" w14:textId="77777777" w:rsidR="00833787" w:rsidRPr="00494D8C" w:rsidRDefault="00833787" w:rsidP="00B86868">
            <w:pPr>
              <w:pStyle w:val="StandardOCAshurst"/>
              <w:keepNext/>
              <w:jc w:val="center"/>
              <w:rPr>
                <w:b/>
                <w:lang w:val="de-DE"/>
              </w:rPr>
            </w:pPr>
            <w:proofErr w:type="spellStart"/>
            <w:r w:rsidRPr="00494D8C">
              <w:rPr>
                <w:lang w:val="de-DE"/>
              </w:rPr>
              <w:t>Denmark</w:t>
            </w:r>
            <w:proofErr w:type="spellEnd"/>
          </w:p>
        </w:tc>
        <w:tc>
          <w:tcPr>
            <w:tcW w:w="2756" w:type="dxa"/>
          </w:tcPr>
          <w:p w14:paraId="1CC45664" w14:textId="77777777" w:rsidR="00833787" w:rsidRPr="00494D8C" w:rsidRDefault="00833787" w:rsidP="00B86868">
            <w:pPr>
              <w:pStyle w:val="StandardOCAshurst"/>
              <w:keepNext/>
              <w:jc w:val="center"/>
              <w:rPr>
                <w:b/>
              </w:rPr>
            </w:pPr>
            <w:proofErr w:type="spellStart"/>
            <w:r w:rsidRPr="00494D8C">
              <w:rPr>
                <w:b/>
              </w:rPr>
              <w:t>Bech-Bruun</w:t>
            </w:r>
            <w:proofErr w:type="spellEnd"/>
            <w:r w:rsidRPr="00494D8C">
              <w:rPr>
                <w:b/>
              </w:rPr>
              <w:t xml:space="preserve"> Law Firm P/S</w:t>
            </w:r>
          </w:p>
          <w:p w14:paraId="3332EF01" w14:textId="77777777" w:rsidR="00833787" w:rsidRPr="00494D8C" w:rsidRDefault="00833787" w:rsidP="00B86868">
            <w:pPr>
              <w:pStyle w:val="StandardOCAshurst"/>
              <w:keepNext/>
              <w:jc w:val="center"/>
            </w:pPr>
            <w:r w:rsidRPr="00494D8C">
              <w:t xml:space="preserve">Langelinie </w:t>
            </w:r>
            <w:proofErr w:type="spellStart"/>
            <w:r w:rsidRPr="00494D8C">
              <w:t>Allé</w:t>
            </w:r>
            <w:proofErr w:type="spellEnd"/>
            <w:r w:rsidRPr="00494D8C">
              <w:t xml:space="preserve"> 35</w:t>
            </w:r>
          </w:p>
          <w:p w14:paraId="4407C770" w14:textId="77777777" w:rsidR="00833787" w:rsidRPr="00494D8C" w:rsidRDefault="00833787" w:rsidP="00B86868">
            <w:pPr>
              <w:pStyle w:val="StandardOCAshurst"/>
              <w:keepNext/>
              <w:jc w:val="center"/>
            </w:pPr>
            <w:r w:rsidRPr="00494D8C">
              <w:t>2100 Copenhagen</w:t>
            </w:r>
          </w:p>
          <w:p w14:paraId="797AF7DD" w14:textId="77777777" w:rsidR="00833787" w:rsidRPr="00494D8C" w:rsidRDefault="00833787" w:rsidP="00B86868">
            <w:pPr>
              <w:pStyle w:val="StandardOCAshurst"/>
              <w:keepNext/>
              <w:jc w:val="center"/>
            </w:pPr>
            <w:r w:rsidRPr="00494D8C">
              <w:t>Denmark</w:t>
            </w:r>
          </w:p>
          <w:p w14:paraId="7D83D3DD" w14:textId="77777777" w:rsidR="00833787" w:rsidRPr="00494D8C" w:rsidRDefault="00833787" w:rsidP="00B86868">
            <w:pPr>
              <w:pStyle w:val="StandardOCAshurst"/>
              <w:keepNext/>
              <w:jc w:val="center"/>
              <w:rPr>
                <w:b/>
              </w:rPr>
            </w:pPr>
          </w:p>
        </w:tc>
      </w:tr>
      <w:tr w:rsidR="00833787" w:rsidRPr="00494D8C" w14:paraId="48C179F7" w14:textId="77777777" w:rsidTr="00B86868">
        <w:tc>
          <w:tcPr>
            <w:tcW w:w="8306" w:type="dxa"/>
            <w:gridSpan w:val="3"/>
          </w:tcPr>
          <w:p w14:paraId="208D934C" w14:textId="77777777" w:rsidR="00833787" w:rsidRPr="00494D8C" w:rsidRDefault="00833787" w:rsidP="00B86868">
            <w:pPr>
              <w:pStyle w:val="StandardOCAshurst"/>
              <w:jc w:val="center"/>
              <w:rPr>
                <w:b/>
                <w:i/>
              </w:rPr>
            </w:pPr>
            <w:r w:rsidRPr="00494D8C">
              <w:rPr>
                <w:b/>
                <w:i/>
              </w:rPr>
              <w:t>In respect of French Securities:</w:t>
            </w:r>
          </w:p>
          <w:p w14:paraId="725883B4" w14:textId="77777777" w:rsidR="00833787" w:rsidRPr="00494D8C" w:rsidRDefault="00833787" w:rsidP="00B86868">
            <w:pPr>
              <w:pStyle w:val="StandardOCAshurst"/>
              <w:jc w:val="center"/>
              <w:rPr>
                <w:b/>
              </w:rPr>
            </w:pPr>
          </w:p>
        </w:tc>
      </w:tr>
      <w:tr w:rsidR="00833787" w:rsidRPr="00494D8C" w14:paraId="61193B59" w14:textId="77777777" w:rsidTr="00B86868">
        <w:tc>
          <w:tcPr>
            <w:tcW w:w="2768" w:type="dxa"/>
          </w:tcPr>
          <w:p w14:paraId="4170D006" w14:textId="77777777" w:rsidR="00833787" w:rsidRPr="00494D8C" w:rsidRDefault="00833787" w:rsidP="00B86868">
            <w:pPr>
              <w:pStyle w:val="StandardOCAshurst"/>
              <w:jc w:val="center"/>
              <w:rPr>
                <w:b/>
              </w:rPr>
            </w:pPr>
            <w:r w:rsidRPr="00494D8C">
              <w:rPr>
                <w:b/>
              </w:rPr>
              <w:t>French Programme Agent</w:t>
            </w:r>
          </w:p>
        </w:tc>
        <w:tc>
          <w:tcPr>
            <w:tcW w:w="2782" w:type="dxa"/>
          </w:tcPr>
          <w:p w14:paraId="1FE9411C" w14:textId="77777777" w:rsidR="00833787" w:rsidRPr="00494D8C" w:rsidRDefault="00833787" w:rsidP="00B86868">
            <w:pPr>
              <w:pStyle w:val="StandardOCAshurst"/>
              <w:jc w:val="center"/>
              <w:rPr>
                <w:b/>
              </w:rPr>
            </w:pPr>
            <w:r w:rsidRPr="00494D8C">
              <w:rPr>
                <w:b/>
              </w:rPr>
              <w:t>Dutch Listing Agent</w:t>
            </w:r>
          </w:p>
        </w:tc>
        <w:tc>
          <w:tcPr>
            <w:tcW w:w="2756" w:type="dxa"/>
          </w:tcPr>
          <w:p w14:paraId="52739B39" w14:textId="77777777" w:rsidR="00833787" w:rsidRPr="00494D8C" w:rsidRDefault="00833787" w:rsidP="00B86868">
            <w:pPr>
              <w:pStyle w:val="StandardOCAshurst"/>
              <w:jc w:val="center"/>
              <w:rPr>
                <w:b/>
              </w:rPr>
            </w:pPr>
            <w:r w:rsidRPr="00494D8C">
              <w:rPr>
                <w:b/>
              </w:rPr>
              <w:t>Legal Advisers to the Issuers</w:t>
            </w:r>
          </w:p>
          <w:p w14:paraId="3816C18F" w14:textId="77777777" w:rsidR="00833787" w:rsidRPr="00494D8C" w:rsidRDefault="00833787" w:rsidP="00B86868">
            <w:pPr>
              <w:pStyle w:val="StandardOCAshurst"/>
              <w:jc w:val="center"/>
              <w:rPr>
                <w:i/>
              </w:rPr>
            </w:pPr>
            <w:r w:rsidRPr="00494D8C">
              <w:rPr>
                <w:i/>
              </w:rPr>
              <w:t>in respect of French law</w:t>
            </w:r>
          </w:p>
          <w:p w14:paraId="5C0C5B59" w14:textId="77777777" w:rsidR="00833787" w:rsidRPr="00494D8C" w:rsidRDefault="00833787" w:rsidP="00B86868">
            <w:pPr>
              <w:pStyle w:val="StandardOCAshurst"/>
              <w:jc w:val="center"/>
              <w:rPr>
                <w:b/>
              </w:rPr>
            </w:pPr>
          </w:p>
        </w:tc>
      </w:tr>
      <w:tr w:rsidR="00833787" w:rsidRPr="00494D8C" w14:paraId="6B44F3F0" w14:textId="77777777" w:rsidTr="00B86868">
        <w:tc>
          <w:tcPr>
            <w:tcW w:w="2768" w:type="dxa"/>
          </w:tcPr>
          <w:p w14:paraId="2006B341" w14:textId="77777777" w:rsidR="00833787" w:rsidRPr="00494D8C" w:rsidRDefault="00833787" w:rsidP="00B86868">
            <w:pPr>
              <w:pStyle w:val="StandardOCAshurst"/>
              <w:jc w:val="center"/>
              <w:rPr>
                <w:b/>
                <w:lang w:val="fr-FR"/>
              </w:rPr>
            </w:pPr>
            <w:r w:rsidRPr="00494D8C">
              <w:rPr>
                <w:b/>
                <w:lang w:val="fr-FR"/>
              </w:rPr>
              <w:t>BNP Paribas S.A.</w:t>
            </w:r>
          </w:p>
          <w:p w14:paraId="3C1789FF" w14:textId="77777777" w:rsidR="00833787" w:rsidRPr="00494D8C" w:rsidRDefault="00833787" w:rsidP="00B86868">
            <w:pPr>
              <w:pStyle w:val="StandardOCAshurst"/>
              <w:jc w:val="center"/>
              <w:rPr>
                <w:lang w:val="fr-FR"/>
              </w:rPr>
            </w:pPr>
            <w:r w:rsidRPr="00494D8C">
              <w:rPr>
                <w:lang w:val="fr-FR"/>
              </w:rPr>
              <w:t>16, boulevard des Italiens</w:t>
            </w:r>
          </w:p>
          <w:p w14:paraId="6E15DD1E" w14:textId="77777777" w:rsidR="00833787" w:rsidRPr="00494D8C" w:rsidRDefault="00833787" w:rsidP="00B86868">
            <w:pPr>
              <w:pStyle w:val="StandardOCAshurst"/>
              <w:jc w:val="center"/>
              <w:rPr>
                <w:lang w:val="fr-FR"/>
              </w:rPr>
            </w:pPr>
            <w:r w:rsidRPr="00494D8C">
              <w:rPr>
                <w:lang w:val="fr-FR"/>
              </w:rPr>
              <w:t>75009 Paris</w:t>
            </w:r>
          </w:p>
          <w:p w14:paraId="57D0ADCD" w14:textId="77777777" w:rsidR="00833787" w:rsidRPr="00494D8C" w:rsidRDefault="00833787" w:rsidP="00B86868">
            <w:pPr>
              <w:pStyle w:val="StandardOCAshurst"/>
              <w:jc w:val="center"/>
              <w:rPr>
                <w:b/>
                <w:lang w:val="fr-FR"/>
              </w:rPr>
            </w:pPr>
            <w:r w:rsidRPr="00494D8C">
              <w:rPr>
                <w:lang w:val="fr-FR"/>
              </w:rPr>
              <w:t>France</w:t>
            </w:r>
            <w:r w:rsidRPr="00494D8C">
              <w:rPr>
                <w:b/>
                <w:lang w:val="fr-FR"/>
              </w:rPr>
              <w:t xml:space="preserve"> </w:t>
            </w:r>
          </w:p>
        </w:tc>
        <w:tc>
          <w:tcPr>
            <w:tcW w:w="2782" w:type="dxa"/>
          </w:tcPr>
          <w:p w14:paraId="7BA86C82" w14:textId="77777777" w:rsidR="00833787" w:rsidRPr="00494D8C" w:rsidRDefault="00833787" w:rsidP="00B86868">
            <w:pPr>
              <w:pStyle w:val="StandardOCAshurst"/>
              <w:jc w:val="center"/>
              <w:rPr>
                <w:b/>
                <w:lang w:val="nl-NL"/>
              </w:rPr>
            </w:pPr>
            <w:proofErr w:type="spellStart"/>
            <w:r w:rsidRPr="00494D8C">
              <w:rPr>
                <w:b/>
                <w:lang w:val="nl-NL"/>
              </w:rPr>
              <w:t>Cooperatieve</w:t>
            </w:r>
            <w:proofErr w:type="spellEnd"/>
            <w:r w:rsidRPr="00494D8C">
              <w:rPr>
                <w:b/>
                <w:lang w:val="nl-NL"/>
              </w:rPr>
              <w:t xml:space="preserve"> Centrale </w:t>
            </w:r>
            <w:proofErr w:type="spellStart"/>
            <w:r w:rsidRPr="00494D8C">
              <w:rPr>
                <w:b/>
                <w:lang w:val="nl-NL"/>
              </w:rPr>
              <w:t>Raiffeisen</w:t>
            </w:r>
            <w:proofErr w:type="spellEnd"/>
            <w:r w:rsidRPr="00494D8C">
              <w:rPr>
                <w:b/>
                <w:lang w:val="nl-NL"/>
              </w:rPr>
              <w:t>-Boerenleenbank BA</w:t>
            </w:r>
          </w:p>
          <w:p w14:paraId="0757ABAB" w14:textId="77777777" w:rsidR="00833787" w:rsidRPr="00494D8C" w:rsidRDefault="00833787" w:rsidP="00B86868">
            <w:pPr>
              <w:pStyle w:val="StandardOCAshurst"/>
              <w:jc w:val="center"/>
              <w:rPr>
                <w:lang w:val="nl-NL"/>
              </w:rPr>
            </w:pPr>
            <w:r w:rsidRPr="00494D8C">
              <w:rPr>
                <w:lang w:val="nl-NL"/>
              </w:rPr>
              <w:t>Amstelplein 1, 1096 HA</w:t>
            </w:r>
          </w:p>
          <w:p w14:paraId="49617D16" w14:textId="77777777" w:rsidR="00833787" w:rsidRPr="00494D8C" w:rsidRDefault="00833787" w:rsidP="00B86868">
            <w:pPr>
              <w:pStyle w:val="StandardOCAshurst"/>
              <w:jc w:val="center"/>
            </w:pPr>
            <w:r w:rsidRPr="00494D8C">
              <w:t>Amsterdam</w:t>
            </w:r>
          </w:p>
          <w:p w14:paraId="3C089726" w14:textId="77777777" w:rsidR="00833787" w:rsidRPr="00494D8C" w:rsidRDefault="00833787" w:rsidP="00B86868">
            <w:pPr>
              <w:pStyle w:val="StandardOCAshurst"/>
              <w:jc w:val="center"/>
            </w:pPr>
            <w:r w:rsidRPr="00494D8C">
              <w:t>The Netherlands</w:t>
            </w:r>
          </w:p>
          <w:p w14:paraId="309B64B2" w14:textId="77777777" w:rsidR="00833787" w:rsidRPr="00494D8C" w:rsidRDefault="00833787" w:rsidP="00B86868">
            <w:pPr>
              <w:pStyle w:val="StandardOCAshurst"/>
              <w:jc w:val="center"/>
              <w:rPr>
                <w:b/>
              </w:rPr>
            </w:pPr>
          </w:p>
        </w:tc>
        <w:tc>
          <w:tcPr>
            <w:tcW w:w="2756" w:type="dxa"/>
          </w:tcPr>
          <w:p w14:paraId="5472DCFA" w14:textId="77777777" w:rsidR="00833787" w:rsidRPr="00494D8C" w:rsidRDefault="00833787" w:rsidP="00B86868">
            <w:pPr>
              <w:pStyle w:val="StandardOCAshurst"/>
              <w:jc w:val="center"/>
              <w:rPr>
                <w:b/>
                <w:lang w:val="fr-FR"/>
              </w:rPr>
            </w:pPr>
            <w:r w:rsidRPr="00494D8C">
              <w:rPr>
                <w:b/>
                <w:lang w:val="fr-FR"/>
              </w:rPr>
              <w:t>Ashurst LLP</w:t>
            </w:r>
          </w:p>
          <w:p w14:paraId="55943444" w14:textId="77777777" w:rsidR="00833787" w:rsidRPr="00494D8C" w:rsidRDefault="00833787" w:rsidP="00B86868">
            <w:pPr>
              <w:pStyle w:val="StandardOCAshurst"/>
              <w:jc w:val="center"/>
              <w:rPr>
                <w:lang w:val="fr-FR"/>
              </w:rPr>
            </w:pPr>
            <w:r w:rsidRPr="00494D8C">
              <w:rPr>
                <w:lang w:val="fr-FR"/>
              </w:rPr>
              <w:t>Avocats au Barreau de Paris</w:t>
            </w:r>
          </w:p>
          <w:p w14:paraId="31A5FF8D" w14:textId="77777777" w:rsidR="00833787" w:rsidRPr="00494D8C" w:rsidRDefault="00833787" w:rsidP="00B86868">
            <w:pPr>
              <w:pStyle w:val="StandardOCAshurst"/>
              <w:jc w:val="center"/>
            </w:pPr>
            <w:r w:rsidRPr="00494D8C">
              <w:t>18, square Edouard VII</w:t>
            </w:r>
          </w:p>
          <w:p w14:paraId="48499ED0" w14:textId="77777777" w:rsidR="00833787" w:rsidRPr="00494D8C" w:rsidRDefault="00833787" w:rsidP="00B86868">
            <w:pPr>
              <w:pStyle w:val="StandardOCAshurst"/>
              <w:jc w:val="center"/>
            </w:pPr>
            <w:r w:rsidRPr="00494D8C">
              <w:t>75009 Paris</w:t>
            </w:r>
          </w:p>
          <w:p w14:paraId="4B5E5C31" w14:textId="77777777" w:rsidR="00833787" w:rsidRPr="00494D8C" w:rsidRDefault="00833787" w:rsidP="00B86868">
            <w:pPr>
              <w:pStyle w:val="StandardOCAshurst"/>
              <w:jc w:val="center"/>
            </w:pPr>
            <w:r w:rsidRPr="00494D8C">
              <w:t>France</w:t>
            </w:r>
          </w:p>
          <w:p w14:paraId="7E039A57" w14:textId="77777777" w:rsidR="00833787" w:rsidRPr="00494D8C" w:rsidRDefault="00833787" w:rsidP="00B86868">
            <w:pPr>
              <w:pStyle w:val="StandardOCAshurst"/>
              <w:jc w:val="center"/>
              <w:rPr>
                <w:b/>
              </w:rPr>
            </w:pPr>
          </w:p>
        </w:tc>
      </w:tr>
      <w:tr w:rsidR="00833787" w:rsidRPr="00494D8C" w14:paraId="6973A567" w14:textId="77777777" w:rsidTr="00B86868">
        <w:tc>
          <w:tcPr>
            <w:tcW w:w="2768" w:type="dxa"/>
          </w:tcPr>
          <w:p w14:paraId="4F4F3399" w14:textId="77777777" w:rsidR="00833787" w:rsidRPr="00494D8C" w:rsidRDefault="00833787" w:rsidP="00B86868">
            <w:pPr>
              <w:pStyle w:val="StandardOCAshurst"/>
              <w:jc w:val="center"/>
              <w:rPr>
                <w:b/>
              </w:rPr>
            </w:pPr>
          </w:p>
        </w:tc>
        <w:tc>
          <w:tcPr>
            <w:tcW w:w="2782" w:type="dxa"/>
          </w:tcPr>
          <w:p w14:paraId="2C7B66B3" w14:textId="77777777" w:rsidR="00833787" w:rsidRPr="00494D8C" w:rsidRDefault="00833787" w:rsidP="00B86868">
            <w:pPr>
              <w:pStyle w:val="StandardOCAshurst"/>
              <w:rPr>
                <w:b/>
                <w:i/>
              </w:rPr>
            </w:pPr>
            <w:r w:rsidRPr="00494D8C">
              <w:rPr>
                <w:b/>
                <w:i/>
              </w:rPr>
              <w:t>In respect of Swiss Securities:</w:t>
            </w:r>
          </w:p>
          <w:p w14:paraId="151FAD02" w14:textId="77777777" w:rsidR="00833787" w:rsidRPr="00494D8C" w:rsidRDefault="00833787" w:rsidP="00B86868">
            <w:pPr>
              <w:pStyle w:val="StandardOCAshurst"/>
              <w:jc w:val="center"/>
              <w:rPr>
                <w:b/>
              </w:rPr>
            </w:pPr>
          </w:p>
        </w:tc>
        <w:tc>
          <w:tcPr>
            <w:tcW w:w="2756" w:type="dxa"/>
          </w:tcPr>
          <w:p w14:paraId="7B3CE03E" w14:textId="77777777" w:rsidR="00833787" w:rsidRPr="00494D8C" w:rsidRDefault="00833787" w:rsidP="00B86868">
            <w:pPr>
              <w:pStyle w:val="StandardOCAshurst"/>
              <w:jc w:val="center"/>
              <w:rPr>
                <w:b/>
              </w:rPr>
            </w:pPr>
          </w:p>
        </w:tc>
      </w:tr>
      <w:tr w:rsidR="00833787" w:rsidRPr="00494D8C" w14:paraId="0F17CB6E" w14:textId="77777777" w:rsidTr="00B86868">
        <w:tc>
          <w:tcPr>
            <w:tcW w:w="2768" w:type="dxa"/>
          </w:tcPr>
          <w:p w14:paraId="149D5C6D" w14:textId="77777777" w:rsidR="00833787" w:rsidRPr="00494D8C" w:rsidRDefault="00833787" w:rsidP="00B86868">
            <w:pPr>
              <w:pStyle w:val="StandardOCAshurst"/>
              <w:jc w:val="center"/>
              <w:rPr>
                <w:b/>
              </w:rPr>
            </w:pPr>
            <w:r w:rsidRPr="00494D8C">
              <w:rPr>
                <w:b/>
              </w:rPr>
              <w:t>Swiss Programme Agent</w:t>
            </w:r>
          </w:p>
        </w:tc>
        <w:tc>
          <w:tcPr>
            <w:tcW w:w="2782" w:type="dxa"/>
          </w:tcPr>
          <w:p w14:paraId="73EF8CAC" w14:textId="77777777" w:rsidR="00833787" w:rsidRPr="00494D8C" w:rsidRDefault="00833787" w:rsidP="00B86868">
            <w:pPr>
              <w:pStyle w:val="StandardOCAshurst"/>
              <w:jc w:val="center"/>
              <w:rPr>
                <w:b/>
              </w:rPr>
            </w:pPr>
          </w:p>
        </w:tc>
        <w:tc>
          <w:tcPr>
            <w:tcW w:w="2756" w:type="dxa"/>
          </w:tcPr>
          <w:p w14:paraId="47F4A2D6" w14:textId="77777777" w:rsidR="00833787" w:rsidRPr="00494D8C" w:rsidRDefault="00833787" w:rsidP="00B86868">
            <w:pPr>
              <w:pStyle w:val="StandardOCAshurst"/>
              <w:jc w:val="center"/>
              <w:rPr>
                <w:b/>
              </w:rPr>
            </w:pPr>
            <w:r w:rsidRPr="00494D8C">
              <w:rPr>
                <w:b/>
              </w:rPr>
              <w:t xml:space="preserve">Legal Advisers to the Issuers </w:t>
            </w:r>
            <w:r w:rsidRPr="00494D8C">
              <w:rPr>
                <w:i/>
              </w:rPr>
              <w:t>in respect of Swiss law</w:t>
            </w:r>
          </w:p>
        </w:tc>
      </w:tr>
      <w:tr w:rsidR="00833787" w:rsidRPr="00494D8C" w14:paraId="032E6E8F" w14:textId="77777777" w:rsidTr="00B86868">
        <w:tc>
          <w:tcPr>
            <w:tcW w:w="2768" w:type="dxa"/>
          </w:tcPr>
          <w:p w14:paraId="1EE3ECB7" w14:textId="77777777" w:rsidR="00833787" w:rsidRPr="00494D8C" w:rsidRDefault="00833787" w:rsidP="00B86868">
            <w:pPr>
              <w:pStyle w:val="StandardOCAshurst"/>
              <w:jc w:val="center"/>
              <w:rPr>
                <w:b/>
                <w:lang w:val="de-DE"/>
              </w:rPr>
            </w:pPr>
            <w:proofErr w:type="spellStart"/>
            <w:r w:rsidRPr="00494D8C">
              <w:rPr>
                <w:b/>
                <w:lang w:val="de-DE"/>
              </w:rPr>
              <w:t>Credit</w:t>
            </w:r>
            <w:proofErr w:type="spellEnd"/>
            <w:r w:rsidRPr="00494D8C">
              <w:rPr>
                <w:b/>
                <w:lang w:val="de-DE"/>
              </w:rPr>
              <w:t xml:space="preserve"> Suisse AG</w:t>
            </w:r>
          </w:p>
          <w:p w14:paraId="28FCF356" w14:textId="77777777" w:rsidR="00833787" w:rsidRPr="00494D8C" w:rsidRDefault="00833787" w:rsidP="00B86868">
            <w:pPr>
              <w:pStyle w:val="StandardOCAshurst"/>
              <w:jc w:val="center"/>
              <w:rPr>
                <w:lang w:val="de-DE"/>
              </w:rPr>
            </w:pPr>
            <w:r w:rsidRPr="00494D8C">
              <w:rPr>
                <w:lang w:val="de-DE"/>
              </w:rPr>
              <w:t>Paradeplatz 8</w:t>
            </w:r>
          </w:p>
          <w:p w14:paraId="0B0FEF54" w14:textId="77777777" w:rsidR="00833787" w:rsidRPr="00494D8C" w:rsidRDefault="00833787" w:rsidP="00B86868">
            <w:pPr>
              <w:pStyle w:val="StandardOCAshurst"/>
              <w:jc w:val="center"/>
              <w:rPr>
                <w:lang w:val="de-DE"/>
              </w:rPr>
            </w:pPr>
            <w:r w:rsidRPr="00494D8C">
              <w:rPr>
                <w:lang w:val="de-DE"/>
              </w:rPr>
              <w:t>8001 Zürich</w:t>
            </w:r>
          </w:p>
          <w:p w14:paraId="7D5D2F1F" w14:textId="77777777" w:rsidR="00833787" w:rsidRPr="00494D8C" w:rsidRDefault="00833787" w:rsidP="00B86868">
            <w:pPr>
              <w:pStyle w:val="StandardOCAshurst"/>
              <w:jc w:val="center"/>
              <w:rPr>
                <w:b/>
                <w:lang w:val="de-DE"/>
              </w:rPr>
            </w:pPr>
            <w:proofErr w:type="spellStart"/>
            <w:r w:rsidRPr="00494D8C">
              <w:rPr>
                <w:lang w:val="de-DE"/>
              </w:rPr>
              <w:t>Switzerland</w:t>
            </w:r>
            <w:proofErr w:type="spellEnd"/>
          </w:p>
        </w:tc>
        <w:tc>
          <w:tcPr>
            <w:tcW w:w="2782" w:type="dxa"/>
          </w:tcPr>
          <w:p w14:paraId="7AE5AEA5" w14:textId="77777777" w:rsidR="00833787" w:rsidRPr="00494D8C" w:rsidRDefault="00833787" w:rsidP="00B86868">
            <w:pPr>
              <w:pStyle w:val="StandardOCAshurst"/>
              <w:jc w:val="center"/>
              <w:rPr>
                <w:b/>
                <w:lang w:val="de-DE"/>
              </w:rPr>
            </w:pPr>
          </w:p>
        </w:tc>
        <w:tc>
          <w:tcPr>
            <w:tcW w:w="2756" w:type="dxa"/>
          </w:tcPr>
          <w:p w14:paraId="5869EFD8" w14:textId="77777777" w:rsidR="00833787" w:rsidRPr="00494D8C" w:rsidRDefault="00833787" w:rsidP="00B86868">
            <w:pPr>
              <w:pStyle w:val="StandardOCAshurst"/>
              <w:jc w:val="center"/>
              <w:rPr>
                <w:b/>
                <w:lang w:val="de-DE"/>
              </w:rPr>
            </w:pPr>
            <w:r w:rsidRPr="00494D8C">
              <w:rPr>
                <w:b/>
                <w:lang w:val="de-DE"/>
              </w:rPr>
              <w:t>Homburger AG</w:t>
            </w:r>
          </w:p>
          <w:p w14:paraId="73230DB4" w14:textId="77777777" w:rsidR="00833787" w:rsidRPr="00494D8C" w:rsidRDefault="00833787" w:rsidP="00B86868">
            <w:pPr>
              <w:pStyle w:val="StandardOCAshurst"/>
              <w:jc w:val="center"/>
              <w:rPr>
                <w:lang w:val="de-DE"/>
              </w:rPr>
            </w:pPr>
            <w:r w:rsidRPr="00494D8C">
              <w:rPr>
                <w:lang w:val="de-DE"/>
              </w:rPr>
              <w:t>Prime Tower</w:t>
            </w:r>
          </w:p>
          <w:p w14:paraId="22D1A33C" w14:textId="77777777" w:rsidR="00833787" w:rsidRPr="00494D8C" w:rsidRDefault="00833787" w:rsidP="00B86868">
            <w:pPr>
              <w:pStyle w:val="StandardOCAshurst"/>
              <w:jc w:val="center"/>
              <w:rPr>
                <w:lang w:val="de-DE"/>
              </w:rPr>
            </w:pPr>
            <w:proofErr w:type="spellStart"/>
            <w:r w:rsidRPr="00494D8C">
              <w:rPr>
                <w:lang w:val="de-DE"/>
              </w:rPr>
              <w:t>Hardstrasse</w:t>
            </w:r>
            <w:proofErr w:type="spellEnd"/>
            <w:r w:rsidRPr="00494D8C">
              <w:rPr>
                <w:lang w:val="de-DE"/>
              </w:rPr>
              <w:t xml:space="preserve"> 201</w:t>
            </w:r>
          </w:p>
          <w:p w14:paraId="5F6FFD8D" w14:textId="77777777" w:rsidR="00833787" w:rsidRPr="00494D8C" w:rsidRDefault="00833787" w:rsidP="00B86868">
            <w:pPr>
              <w:pStyle w:val="StandardOCAshurst"/>
              <w:jc w:val="center"/>
              <w:rPr>
                <w:lang w:val="de-DE"/>
              </w:rPr>
            </w:pPr>
            <w:r w:rsidRPr="00494D8C">
              <w:rPr>
                <w:lang w:val="de-DE"/>
              </w:rPr>
              <w:t xml:space="preserve">8005 </w:t>
            </w:r>
            <w:proofErr w:type="spellStart"/>
            <w:r w:rsidRPr="00494D8C">
              <w:rPr>
                <w:lang w:val="de-DE"/>
              </w:rPr>
              <w:t>Zurich</w:t>
            </w:r>
            <w:proofErr w:type="spellEnd"/>
          </w:p>
          <w:p w14:paraId="665EF25F" w14:textId="77777777" w:rsidR="00833787" w:rsidRPr="00494D8C" w:rsidRDefault="00833787" w:rsidP="00B86868">
            <w:pPr>
              <w:pStyle w:val="StandardOCAshurst"/>
              <w:jc w:val="center"/>
              <w:rPr>
                <w:lang w:val="de-DE"/>
              </w:rPr>
            </w:pPr>
            <w:proofErr w:type="spellStart"/>
            <w:r w:rsidRPr="00494D8C">
              <w:rPr>
                <w:lang w:val="de-DE"/>
              </w:rPr>
              <w:t>Switzerland</w:t>
            </w:r>
            <w:proofErr w:type="spellEnd"/>
          </w:p>
          <w:p w14:paraId="638512C8" w14:textId="77777777" w:rsidR="00833787" w:rsidRPr="00494D8C" w:rsidRDefault="00833787" w:rsidP="00B86868">
            <w:pPr>
              <w:pStyle w:val="StandardOCAshurst"/>
              <w:jc w:val="center"/>
              <w:rPr>
                <w:b/>
                <w:lang w:val="de-DE"/>
              </w:rPr>
            </w:pPr>
          </w:p>
        </w:tc>
      </w:tr>
      <w:tr w:rsidR="00833787" w:rsidRPr="00494D8C" w14:paraId="69DCD9F3" w14:textId="77777777" w:rsidTr="00B86868">
        <w:tc>
          <w:tcPr>
            <w:tcW w:w="8306" w:type="dxa"/>
            <w:gridSpan w:val="3"/>
          </w:tcPr>
          <w:p w14:paraId="275406A5" w14:textId="77777777" w:rsidR="00833787" w:rsidRPr="00494D8C" w:rsidRDefault="00833787" w:rsidP="00B86868">
            <w:pPr>
              <w:pStyle w:val="StandardOCAshurst"/>
              <w:jc w:val="center"/>
              <w:rPr>
                <w:b/>
                <w:i/>
              </w:rPr>
            </w:pPr>
            <w:r w:rsidRPr="00494D8C">
              <w:rPr>
                <w:b/>
                <w:i/>
              </w:rPr>
              <w:t>In respect of German Securities:</w:t>
            </w:r>
          </w:p>
          <w:p w14:paraId="5D8F9F3D" w14:textId="77777777" w:rsidR="00833787" w:rsidRPr="00494D8C" w:rsidRDefault="00833787" w:rsidP="00B86868">
            <w:pPr>
              <w:pStyle w:val="StandardOCAshurst"/>
              <w:jc w:val="center"/>
              <w:rPr>
                <w:b/>
              </w:rPr>
            </w:pPr>
          </w:p>
        </w:tc>
      </w:tr>
      <w:tr w:rsidR="00833787" w:rsidRPr="00494D8C" w14:paraId="79BCFA3A" w14:textId="77777777" w:rsidTr="00B86868">
        <w:tc>
          <w:tcPr>
            <w:tcW w:w="2768" w:type="dxa"/>
          </w:tcPr>
          <w:p w14:paraId="58A2239B" w14:textId="77777777" w:rsidR="00833787" w:rsidRPr="00494D8C" w:rsidRDefault="00833787" w:rsidP="00B86868">
            <w:pPr>
              <w:pStyle w:val="StandardOCAshurst"/>
              <w:jc w:val="center"/>
              <w:rPr>
                <w:b/>
                <w:lang w:val="de-DE"/>
              </w:rPr>
            </w:pPr>
            <w:r w:rsidRPr="00494D8C">
              <w:rPr>
                <w:b/>
                <w:lang w:val="de-DE"/>
              </w:rPr>
              <w:t>German Programme Agent</w:t>
            </w:r>
          </w:p>
          <w:p w14:paraId="5F3CD377" w14:textId="77777777" w:rsidR="00833787" w:rsidRPr="00494D8C" w:rsidRDefault="00833787" w:rsidP="00B86868">
            <w:pPr>
              <w:pStyle w:val="StandardOCAshurst"/>
              <w:jc w:val="center"/>
              <w:rPr>
                <w:lang w:val="de-DE"/>
              </w:rPr>
            </w:pPr>
          </w:p>
          <w:p w14:paraId="3B89541F" w14:textId="77777777" w:rsidR="00833787" w:rsidRPr="00494D8C" w:rsidRDefault="00833787" w:rsidP="00B86868">
            <w:pPr>
              <w:pStyle w:val="StandardOCAshurst"/>
              <w:jc w:val="center"/>
              <w:rPr>
                <w:lang w:val="de-DE"/>
              </w:rPr>
            </w:pPr>
            <w:r w:rsidRPr="00494D8C">
              <w:rPr>
                <w:b/>
                <w:lang w:val="de-DE"/>
              </w:rPr>
              <w:t>BNP Paribas S.A. Germany Branch</w:t>
            </w:r>
          </w:p>
          <w:p w14:paraId="1E6D0593" w14:textId="77777777" w:rsidR="00833787" w:rsidRPr="00494D8C" w:rsidRDefault="00833787" w:rsidP="00B86868">
            <w:pPr>
              <w:pStyle w:val="StandardOCAshurst"/>
              <w:jc w:val="center"/>
              <w:rPr>
                <w:lang w:val="de-DE"/>
              </w:rPr>
            </w:pPr>
            <w:proofErr w:type="spellStart"/>
            <w:r w:rsidRPr="00494D8C">
              <w:rPr>
                <w:lang w:val="de-DE"/>
              </w:rPr>
              <w:t>Senckenberganlage</w:t>
            </w:r>
            <w:proofErr w:type="spellEnd"/>
            <w:r w:rsidRPr="00494D8C">
              <w:rPr>
                <w:lang w:val="de-DE"/>
              </w:rPr>
              <w:t xml:space="preserve"> 19</w:t>
            </w:r>
          </w:p>
          <w:p w14:paraId="577BA9D9" w14:textId="77777777" w:rsidR="00833787" w:rsidRPr="00494D8C" w:rsidRDefault="00833787" w:rsidP="00B86868">
            <w:pPr>
              <w:pStyle w:val="StandardOCAshurst"/>
              <w:jc w:val="center"/>
              <w:rPr>
                <w:lang w:val="de-DE"/>
              </w:rPr>
            </w:pPr>
            <w:r w:rsidRPr="00494D8C">
              <w:rPr>
                <w:lang w:val="de-DE"/>
              </w:rPr>
              <w:t>60325 Frankfurt am Main</w:t>
            </w:r>
          </w:p>
          <w:p w14:paraId="3E2FD4AE" w14:textId="77777777" w:rsidR="00833787" w:rsidRPr="00494D8C" w:rsidRDefault="00833787" w:rsidP="00B86868">
            <w:pPr>
              <w:pStyle w:val="StandardOCAshurst"/>
              <w:jc w:val="center"/>
              <w:rPr>
                <w:b/>
                <w:lang w:val="de-DE"/>
              </w:rPr>
            </w:pPr>
            <w:r w:rsidRPr="00494D8C">
              <w:rPr>
                <w:lang w:val="de-DE"/>
              </w:rPr>
              <w:t>Germany</w:t>
            </w:r>
          </w:p>
        </w:tc>
        <w:tc>
          <w:tcPr>
            <w:tcW w:w="2782" w:type="dxa"/>
          </w:tcPr>
          <w:p w14:paraId="4BFEF1CD" w14:textId="77777777" w:rsidR="00833787" w:rsidRPr="00494D8C" w:rsidRDefault="00833787" w:rsidP="00B86868">
            <w:pPr>
              <w:pStyle w:val="StandardOCAshurst"/>
              <w:rPr>
                <w:b/>
                <w:i/>
                <w:lang w:val="de-DE"/>
              </w:rPr>
            </w:pPr>
          </w:p>
        </w:tc>
        <w:tc>
          <w:tcPr>
            <w:tcW w:w="2756" w:type="dxa"/>
          </w:tcPr>
          <w:p w14:paraId="0E8F101B" w14:textId="77777777" w:rsidR="00833787" w:rsidRPr="00494D8C" w:rsidRDefault="00833787" w:rsidP="00B86868">
            <w:pPr>
              <w:pStyle w:val="StandardOCAshurst"/>
              <w:jc w:val="center"/>
              <w:rPr>
                <w:b/>
              </w:rPr>
            </w:pPr>
            <w:r w:rsidRPr="00494D8C">
              <w:rPr>
                <w:b/>
              </w:rPr>
              <w:t>Legal Advisers to the Arranger and Dealer</w:t>
            </w:r>
          </w:p>
          <w:p w14:paraId="21698BFD" w14:textId="77777777" w:rsidR="00833787" w:rsidRPr="00494D8C" w:rsidRDefault="00833787" w:rsidP="00B86868">
            <w:pPr>
              <w:pStyle w:val="StandardOCAshurst"/>
              <w:jc w:val="center"/>
              <w:rPr>
                <w:i/>
              </w:rPr>
            </w:pPr>
            <w:r w:rsidRPr="00494D8C">
              <w:rPr>
                <w:i/>
              </w:rPr>
              <w:t>in respect of German securities law</w:t>
            </w:r>
          </w:p>
          <w:p w14:paraId="692C3AE1" w14:textId="77777777" w:rsidR="00833787" w:rsidRPr="00494D8C" w:rsidRDefault="00833787" w:rsidP="00B86868">
            <w:pPr>
              <w:pStyle w:val="StandardOCAshurst"/>
              <w:jc w:val="center"/>
              <w:rPr>
                <w:b/>
              </w:rPr>
            </w:pPr>
          </w:p>
          <w:p w14:paraId="60DBBF00" w14:textId="77777777" w:rsidR="00833787" w:rsidRPr="00494D8C" w:rsidRDefault="00833787" w:rsidP="00B86868">
            <w:pPr>
              <w:pStyle w:val="StandardOCAshurst"/>
              <w:jc w:val="center"/>
              <w:rPr>
                <w:b/>
                <w:lang w:val="de-DE"/>
              </w:rPr>
            </w:pPr>
            <w:r w:rsidRPr="00494D8C">
              <w:rPr>
                <w:b/>
                <w:lang w:val="de-DE"/>
              </w:rPr>
              <w:t>Simmons &amp; Simmons LLP</w:t>
            </w:r>
          </w:p>
          <w:p w14:paraId="693B471A" w14:textId="77777777" w:rsidR="00833787" w:rsidRPr="00494D8C" w:rsidRDefault="00833787" w:rsidP="00B86868">
            <w:pPr>
              <w:pStyle w:val="StandardOCAshurst"/>
              <w:jc w:val="center"/>
              <w:rPr>
                <w:lang w:val="de-DE"/>
              </w:rPr>
            </w:pPr>
            <w:proofErr w:type="spellStart"/>
            <w:r w:rsidRPr="00494D8C">
              <w:rPr>
                <w:lang w:val="de-DE"/>
              </w:rPr>
              <w:t>MesseTurm</w:t>
            </w:r>
            <w:proofErr w:type="spellEnd"/>
          </w:p>
          <w:p w14:paraId="2223A410" w14:textId="77777777" w:rsidR="00833787" w:rsidRPr="00494D8C" w:rsidRDefault="00833787" w:rsidP="00B86868">
            <w:pPr>
              <w:pStyle w:val="StandardOCAshurst"/>
              <w:jc w:val="center"/>
              <w:rPr>
                <w:lang w:val="de-DE"/>
              </w:rPr>
            </w:pPr>
            <w:r w:rsidRPr="00494D8C">
              <w:rPr>
                <w:lang w:val="de-DE"/>
              </w:rPr>
              <w:t>Friedrich-Ebert-Anlage 49</w:t>
            </w:r>
          </w:p>
          <w:p w14:paraId="4C59B7B4" w14:textId="77777777" w:rsidR="00833787" w:rsidRPr="00494D8C" w:rsidRDefault="00833787" w:rsidP="00B86868">
            <w:pPr>
              <w:pStyle w:val="StandardOCAshurst"/>
              <w:jc w:val="center"/>
            </w:pPr>
            <w:r w:rsidRPr="00494D8C">
              <w:t>60308 Frankfurt am Main</w:t>
            </w:r>
          </w:p>
          <w:p w14:paraId="28E94F95" w14:textId="77777777" w:rsidR="00833787" w:rsidRPr="00494D8C" w:rsidRDefault="00833787" w:rsidP="00B86868">
            <w:pPr>
              <w:pStyle w:val="StandardOCAshurst"/>
              <w:jc w:val="center"/>
            </w:pPr>
            <w:r w:rsidRPr="00494D8C">
              <w:t>Germany</w:t>
            </w:r>
          </w:p>
          <w:p w14:paraId="199EBCC8" w14:textId="77777777" w:rsidR="00833787" w:rsidRPr="00494D8C" w:rsidRDefault="00833787" w:rsidP="00B86868">
            <w:pPr>
              <w:pStyle w:val="StandardOCAshurst"/>
              <w:jc w:val="center"/>
              <w:rPr>
                <w:b/>
              </w:rPr>
            </w:pPr>
          </w:p>
        </w:tc>
      </w:tr>
      <w:tr w:rsidR="00833787" w:rsidRPr="00494D8C" w14:paraId="49760EA8" w14:textId="77777777" w:rsidTr="00B86868">
        <w:tc>
          <w:tcPr>
            <w:tcW w:w="8306" w:type="dxa"/>
            <w:gridSpan w:val="3"/>
          </w:tcPr>
          <w:p w14:paraId="61D87E67" w14:textId="77777777" w:rsidR="00833787" w:rsidRPr="00494D8C" w:rsidRDefault="00833787" w:rsidP="00B86868">
            <w:pPr>
              <w:pStyle w:val="StandardOCAshurst"/>
              <w:jc w:val="center"/>
              <w:rPr>
                <w:b/>
                <w:i/>
                <w:iCs/>
              </w:rPr>
            </w:pPr>
            <w:r w:rsidRPr="00494D8C">
              <w:rPr>
                <w:b/>
                <w:i/>
                <w:iCs/>
              </w:rPr>
              <w:t>In respect of CMU Securities:</w:t>
            </w:r>
          </w:p>
        </w:tc>
      </w:tr>
      <w:tr w:rsidR="00833787" w:rsidRPr="00494D8C" w14:paraId="29D76483" w14:textId="77777777" w:rsidTr="00B86868">
        <w:tc>
          <w:tcPr>
            <w:tcW w:w="8306" w:type="dxa"/>
            <w:gridSpan w:val="3"/>
          </w:tcPr>
          <w:p w14:paraId="511D29AF" w14:textId="77777777" w:rsidR="00833787" w:rsidRPr="00494D8C" w:rsidRDefault="00833787" w:rsidP="00B86868">
            <w:pPr>
              <w:pStyle w:val="StandardOCAshurst"/>
              <w:jc w:val="center"/>
              <w:rPr>
                <w:b/>
              </w:rPr>
            </w:pPr>
            <w:r w:rsidRPr="00494D8C">
              <w:rPr>
                <w:b/>
              </w:rPr>
              <w:t>CMU Lodging and Paying Agent, CMU Registrar and CMU Transfer Agent</w:t>
            </w:r>
          </w:p>
          <w:p w14:paraId="66D4F291" w14:textId="77777777" w:rsidR="00833787" w:rsidRPr="00494D8C" w:rsidRDefault="00833787" w:rsidP="00B86868">
            <w:pPr>
              <w:pStyle w:val="StandardOCAshurst"/>
              <w:jc w:val="center"/>
              <w:rPr>
                <w:b/>
              </w:rPr>
            </w:pPr>
          </w:p>
          <w:p w14:paraId="126A9645" w14:textId="77777777" w:rsidR="00833787" w:rsidRPr="00494D8C" w:rsidRDefault="00833787" w:rsidP="00B86868">
            <w:pPr>
              <w:pStyle w:val="StandardOCAshurst"/>
              <w:jc w:val="center"/>
              <w:rPr>
                <w:b/>
              </w:rPr>
            </w:pPr>
            <w:r w:rsidRPr="00494D8C">
              <w:rPr>
                <w:b/>
              </w:rPr>
              <w:t>The Bank of New York Mellon, Hong Kong Branch</w:t>
            </w:r>
          </w:p>
          <w:p w14:paraId="1E1396A2" w14:textId="77777777" w:rsidR="00833787" w:rsidRPr="00494D8C" w:rsidRDefault="00833787" w:rsidP="00B86868">
            <w:pPr>
              <w:pStyle w:val="StandardOCAshurst"/>
              <w:jc w:val="center"/>
              <w:rPr>
                <w:bCs/>
              </w:rPr>
            </w:pPr>
            <w:r w:rsidRPr="00494D8C">
              <w:rPr>
                <w:bCs/>
              </w:rPr>
              <w:t>Level 26, Three Pacific Place,</w:t>
            </w:r>
          </w:p>
          <w:p w14:paraId="708675DA" w14:textId="77777777" w:rsidR="00833787" w:rsidRPr="00494D8C" w:rsidRDefault="00833787" w:rsidP="00B86868">
            <w:pPr>
              <w:pStyle w:val="StandardOCAshurst"/>
              <w:jc w:val="center"/>
              <w:rPr>
                <w:bCs/>
              </w:rPr>
            </w:pPr>
            <w:r w:rsidRPr="00494D8C">
              <w:rPr>
                <w:bCs/>
              </w:rPr>
              <w:t>1 Queen’s Road East,</w:t>
            </w:r>
          </w:p>
          <w:p w14:paraId="71642474" w14:textId="77777777" w:rsidR="00833787" w:rsidRPr="00494D8C" w:rsidRDefault="00833787" w:rsidP="00B86868">
            <w:pPr>
              <w:pStyle w:val="StandardOCAshurst"/>
              <w:jc w:val="center"/>
              <w:rPr>
                <w:b/>
              </w:rPr>
            </w:pPr>
            <w:r w:rsidRPr="00494D8C">
              <w:rPr>
                <w:bCs/>
              </w:rPr>
              <w:t>Hong Kong</w:t>
            </w:r>
          </w:p>
        </w:tc>
      </w:tr>
    </w:tbl>
    <w:p w14:paraId="2A7A445C" w14:textId="77777777" w:rsidR="00F13F6A" w:rsidRPr="00494D8C" w:rsidRDefault="00F13F6A" w:rsidP="00F13F6A">
      <w:pPr>
        <w:pStyle w:val="NormalAshurst"/>
        <w:spacing w:line="288" w:lineRule="auto"/>
        <w:rPr>
          <w:rFonts w:ascii="Times New Roman" w:hAnsi="Times New Roman" w:cs="Times New Roman"/>
          <w:sz w:val="20"/>
        </w:rPr>
      </w:pPr>
    </w:p>
    <w:p w14:paraId="1E201ADA" w14:textId="77777777" w:rsidR="00ED71DB" w:rsidRPr="00494D8C" w:rsidRDefault="00EC1F9E" w:rsidP="00D3250D">
      <w:pPr>
        <w:pStyle w:val="NormalAshurst"/>
        <w:rPr>
          <w:rFonts w:ascii="Times New Roman" w:hAnsi="Times New Roman" w:cs="Times New Roman"/>
        </w:rPr>
      </w:pPr>
    </w:p>
    <w:p w14:paraId="50B2E1AE" w14:textId="77777777" w:rsidR="00D3250D" w:rsidRPr="00494D8C" w:rsidRDefault="00EC1F9E" w:rsidP="00D3250D">
      <w:pPr>
        <w:pStyle w:val="NormalAshurst"/>
        <w:rPr>
          <w:rFonts w:ascii="Times New Roman" w:hAnsi="Times New Roman" w:cs="Times New Roman"/>
        </w:rPr>
      </w:pPr>
    </w:p>
    <w:sectPr w:rsidR="00D3250D" w:rsidRPr="00494D8C" w:rsidSect="0076470E">
      <w:pgSz w:w="11907" w:h="16840" w:code="9"/>
      <w:pgMar w:top="1440" w:right="1440" w:bottom="1440" w:left="1440"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E95F0" w14:textId="77777777" w:rsidR="006F7E4E" w:rsidRDefault="00CF363F">
      <w:pPr>
        <w:spacing w:line="240" w:lineRule="auto"/>
      </w:pPr>
      <w:r>
        <w:separator/>
      </w:r>
    </w:p>
  </w:endnote>
  <w:endnote w:type="continuationSeparator" w:id="0">
    <w:p w14:paraId="338F6D0F" w14:textId="77777777" w:rsidR="006F7E4E" w:rsidRDefault="00CF36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icrosoft JhengHei">
    <w:panose1 w:val="020B0604030504040204"/>
    <w:charset w:val="88"/>
    <w:family w:val="swiss"/>
    <w:pitch w:val="variable"/>
    <w:sig w:usb0="000002A7" w:usb1="28CF4400" w:usb2="00000016" w:usb3="00000000" w:csb0="00100009" w:csb1="00000000"/>
  </w:font>
  <w:font w:name="Noto Naskh Arabic">
    <w:altName w:val="Arial"/>
    <w:panose1 w:val="020B0502040504020204"/>
    <w:charset w:val="00"/>
    <w:family w:val="swiss"/>
    <w:pitch w:val="variable"/>
    <w:sig w:usb0="00002003" w:usb1="80000000" w:usb2="00000008" w:usb3="00000000" w:csb0="0000004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0EA5C" w14:textId="77777777" w:rsidR="00EC1F9E" w:rsidRDefault="00EC1F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2766"/>
      <w:gridCol w:w="2766"/>
      <w:gridCol w:w="2775"/>
    </w:tblGrid>
    <w:tr w:rsidR="004D4D38" w14:paraId="4A06645F" w14:textId="77777777">
      <w:tc>
        <w:tcPr>
          <w:tcW w:w="1665" w:type="pct"/>
        </w:tcPr>
        <w:p w14:paraId="23200BD7" w14:textId="77777777" w:rsidR="006A0136" w:rsidRPr="006D764B" w:rsidRDefault="00EC1F9E">
          <w:pPr>
            <w:pStyle w:val="Footer"/>
          </w:pPr>
        </w:p>
      </w:tc>
      <w:tc>
        <w:tcPr>
          <w:tcW w:w="1665" w:type="pct"/>
        </w:tcPr>
        <w:p w14:paraId="1F72FB5E" w14:textId="77777777" w:rsidR="006A0136" w:rsidRPr="00111806" w:rsidRDefault="00EC1F9E" w:rsidP="00C03739">
          <w:pPr>
            <w:pStyle w:val="StandardAshurst"/>
            <w:jc w:val="center"/>
            <w:rPr>
              <w:rStyle w:val="PageNumber"/>
              <w:rFonts w:ascii="Times New Roman" w:hAnsi="Times New Roman"/>
            </w:rPr>
          </w:pPr>
        </w:p>
      </w:tc>
      <w:tc>
        <w:tcPr>
          <w:tcW w:w="1670" w:type="pct"/>
        </w:tcPr>
        <w:p w14:paraId="19220AD6" w14:textId="77777777" w:rsidR="006A0136" w:rsidRPr="006D764B" w:rsidRDefault="00EC1F9E">
          <w:pPr>
            <w:pStyle w:val="Footer"/>
          </w:pPr>
        </w:p>
      </w:tc>
    </w:tr>
    <w:tr w:rsidR="004D4D38" w14:paraId="6B6437FF" w14:textId="77777777">
      <w:tc>
        <w:tcPr>
          <w:tcW w:w="5000" w:type="pct"/>
          <w:gridSpan w:val="3"/>
        </w:tcPr>
        <w:p w14:paraId="724565ED" w14:textId="089E3129" w:rsidR="006A0136" w:rsidRPr="007A4167" w:rsidRDefault="000D436B" w:rsidP="000D436B">
          <w:pPr>
            <w:pStyle w:val="Footer"/>
            <w:jc w:val="center"/>
            <w:rPr>
              <w:rFonts w:ascii="Times New Roman" w:hAnsi="Times New Roman"/>
            </w:rPr>
          </w:pPr>
          <w:r w:rsidRPr="007A4167">
            <w:rPr>
              <w:rStyle w:val="PageNumber"/>
              <w:rFonts w:ascii="Times New Roman" w:hAnsi="Times New Roman" w:cs="Times New Roman"/>
            </w:rPr>
            <w:fldChar w:fldCharType="begin"/>
          </w:r>
          <w:r w:rsidRPr="007A4167">
            <w:rPr>
              <w:rStyle w:val="PageNumber"/>
              <w:rFonts w:ascii="Times New Roman" w:hAnsi="Times New Roman" w:cs="Times New Roman"/>
            </w:rPr>
            <w:instrText xml:space="preserve"> PAGE  \* MERGEFORMAT </w:instrText>
          </w:r>
          <w:r w:rsidRPr="007A4167">
            <w:rPr>
              <w:rStyle w:val="PageNumber"/>
              <w:rFonts w:ascii="Times New Roman" w:hAnsi="Times New Roman" w:cs="Times New Roman"/>
            </w:rPr>
            <w:fldChar w:fldCharType="separate"/>
          </w:r>
          <w:r w:rsidRPr="007A4167">
            <w:rPr>
              <w:rStyle w:val="PageNumber"/>
              <w:rFonts w:ascii="Times New Roman" w:hAnsi="Times New Roman" w:cs="Times New Roman"/>
            </w:rPr>
            <w:t>2</w:t>
          </w:r>
          <w:r w:rsidRPr="007A4167">
            <w:rPr>
              <w:rStyle w:val="PageNumber"/>
              <w:rFonts w:ascii="Times New Roman" w:hAnsi="Times New Roman" w:cs="Times New Roman"/>
            </w:rPr>
            <w:fldChar w:fldCharType="end"/>
          </w:r>
        </w:p>
      </w:tc>
    </w:tr>
  </w:tbl>
  <w:p w14:paraId="7EC5180F" w14:textId="77777777" w:rsidR="006A0136" w:rsidRPr="00454A6C" w:rsidRDefault="00EC1F9E" w:rsidP="007A17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D1874" w14:textId="77777777" w:rsidR="00EC1F9E" w:rsidRDefault="00EC1F9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2766"/>
      <w:gridCol w:w="2766"/>
      <w:gridCol w:w="2775"/>
    </w:tblGrid>
    <w:tr w:rsidR="004D4D38" w14:paraId="770C7537" w14:textId="77777777">
      <w:tc>
        <w:tcPr>
          <w:tcW w:w="1665" w:type="pct"/>
        </w:tcPr>
        <w:p w14:paraId="7316CB38" w14:textId="77777777" w:rsidR="00F538CF" w:rsidRPr="00F538CF" w:rsidRDefault="00EC1F9E">
          <w:pPr>
            <w:pStyle w:val="Footer"/>
          </w:pPr>
        </w:p>
      </w:tc>
      <w:tc>
        <w:tcPr>
          <w:tcW w:w="1665" w:type="pct"/>
        </w:tcPr>
        <w:p w14:paraId="4C7F10AA" w14:textId="77777777" w:rsidR="00F538CF" w:rsidRPr="00F538CF" w:rsidRDefault="00CF363F" w:rsidP="0005548B">
          <w:pPr>
            <w:pStyle w:val="StandardAshurst"/>
            <w:jc w:val="center"/>
            <w:rPr>
              <w:rStyle w:val="PageNumber"/>
            </w:rPr>
          </w:pPr>
          <w:r w:rsidRPr="00F538CF">
            <w:rPr>
              <w:rStyle w:val="PageNumber"/>
            </w:rPr>
            <w:fldChar w:fldCharType="begin"/>
          </w:r>
          <w:r w:rsidRPr="00F538CF">
            <w:rPr>
              <w:rStyle w:val="PageNumber"/>
            </w:rPr>
            <w:instrText xml:space="preserve"> PAGE  \* MERGEFORMAT </w:instrText>
          </w:r>
          <w:r w:rsidRPr="00F538CF">
            <w:rPr>
              <w:rStyle w:val="PageNumber"/>
            </w:rPr>
            <w:fldChar w:fldCharType="separate"/>
          </w:r>
          <w:r w:rsidRPr="00F538CF">
            <w:rPr>
              <w:rStyle w:val="PageNumber"/>
              <w:noProof/>
            </w:rPr>
            <w:t>1</w:t>
          </w:r>
          <w:r w:rsidRPr="00F538CF">
            <w:rPr>
              <w:rStyle w:val="PageNumber"/>
            </w:rPr>
            <w:fldChar w:fldCharType="end"/>
          </w:r>
        </w:p>
      </w:tc>
      <w:tc>
        <w:tcPr>
          <w:tcW w:w="1670" w:type="pct"/>
        </w:tcPr>
        <w:p w14:paraId="41AF2432" w14:textId="77777777" w:rsidR="00F538CF" w:rsidRPr="00F538CF" w:rsidRDefault="00EC1F9E">
          <w:pPr>
            <w:pStyle w:val="Footer"/>
          </w:pPr>
        </w:p>
      </w:tc>
    </w:tr>
    <w:tr w:rsidR="004D4D38" w14:paraId="0FE5F74A" w14:textId="77777777">
      <w:tc>
        <w:tcPr>
          <w:tcW w:w="5000" w:type="pct"/>
          <w:gridSpan w:val="3"/>
        </w:tcPr>
        <w:p w14:paraId="33F9C421" w14:textId="408EB786" w:rsidR="00F538CF" w:rsidRPr="00F538CF" w:rsidRDefault="00CF363F">
          <w:pPr>
            <w:pStyle w:val="Footer"/>
          </w:pPr>
          <w:r w:rsidRPr="00F538CF">
            <w:fldChar w:fldCharType="begin"/>
          </w:r>
          <w:r>
            <w:instrText xml:space="preserve"> DOCPROPERTY  ashurstDocRef  \* MERGEFORMAT </w:instrText>
          </w:r>
          <w:r w:rsidRPr="00F538CF">
            <w:fldChar w:fldCharType="separate"/>
          </w:r>
          <w:r w:rsidR="00B344F6">
            <w:t>17:43\20 June 2023\</w:t>
          </w:r>
          <w:proofErr w:type="spellStart"/>
          <w:r w:rsidR="00B344F6">
            <w:t>EUS_ONPREM</w:t>
          </w:r>
          <w:proofErr w:type="spellEnd"/>
          <w:r w:rsidR="00B344F6">
            <w:t>\</w:t>
          </w:r>
          <w:proofErr w:type="spellStart"/>
          <w:r w:rsidR="00B344F6">
            <w:t>JYOW</w:t>
          </w:r>
          <w:proofErr w:type="spellEnd"/>
          <w:r w:rsidR="00B344F6">
            <w:t>\361153032.01</w:t>
          </w:r>
          <w:r w:rsidRPr="00F538CF">
            <w:fldChar w:fldCharType="end"/>
          </w:r>
        </w:p>
      </w:tc>
    </w:tr>
  </w:tbl>
  <w:p w14:paraId="044C886F" w14:textId="77777777" w:rsidR="00DB2040" w:rsidRPr="00F538CF" w:rsidRDefault="00EC1F9E" w:rsidP="00F538C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06"/>
      <w:gridCol w:w="3006"/>
      <w:gridCol w:w="3015"/>
    </w:tblGrid>
    <w:tr w:rsidR="004D4D38" w:rsidRPr="007A4167" w14:paraId="230BB258" w14:textId="77777777">
      <w:tc>
        <w:tcPr>
          <w:tcW w:w="1665" w:type="pct"/>
        </w:tcPr>
        <w:p w14:paraId="294923A1" w14:textId="77777777" w:rsidR="00F538CF" w:rsidRPr="007A4167" w:rsidRDefault="00EC1F9E">
          <w:pPr>
            <w:pStyle w:val="Footer"/>
            <w:rPr>
              <w:rFonts w:ascii="Times New Roman" w:hAnsi="Times New Roman"/>
            </w:rPr>
          </w:pPr>
        </w:p>
      </w:tc>
      <w:tc>
        <w:tcPr>
          <w:tcW w:w="1665" w:type="pct"/>
        </w:tcPr>
        <w:p w14:paraId="75E88EB5" w14:textId="77777777" w:rsidR="00F538CF" w:rsidRPr="007A4167" w:rsidRDefault="00CF363F" w:rsidP="0005548B">
          <w:pPr>
            <w:pStyle w:val="StandardAshurst"/>
            <w:jc w:val="center"/>
            <w:rPr>
              <w:rStyle w:val="PageNumber"/>
              <w:rFonts w:ascii="Times New Roman" w:hAnsi="Times New Roman" w:cs="Times New Roman"/>
            </w:rPr>
          </w:pPr>
          <w:r w:rsidRPr="007A4167">
            <w:rPr>
              <w:rStyle w:val="PageNumber"/>
              <w:rFonts w:ascii="Times New Roman" w:hAnsi="Times New Roman" w:cs="Times New Roman"/>
            </w:rPr>
            <w:fldChar w:fldCharType="begin"/>
          </w:r>
          <w:r w:rsidRPr="007A4167">
            <w:rPr>
              <w:rStyle w:val="PageNumber"/>
              <w:rFonts w:ascii="Times New Roman" w:hAnsi="Times New Roman" w:cs="Times New Roman"/>
            </w:rPr>
            <w:instrText xml:space="preserve"> PAGE  \* MERGEFORMAT </w:instrText>
          </w:r>
          <w:r w:rsidRPr="007A4167">
            <w:rPr>
              <w:rStyle w:val="PageNumber"/>
              <w:rFonts w:ascii="Times New Roman" w:hAnsi="Times New Roman" w:cs="Times New Roman"/>
            </w:rPr>
            <w:fldChar w:fldCharType="separate"/>
          </w:r>
          <w:r w:rsidRPr="007A4167">
            <w:rPr>
              <w:rStyle w:val="PageNumber"/>
              <w:rFonts w:ascii="Times New Roman" w:hAnsi="Times New Roman" w:cs="Times New Roman"/>
              <w:noProof/>
            </w:rPr>
            <w:t>1</w:t>
          </w:r>
          <w:r w:rsidRPr="007A4167">
            <w:rPr>
              <w:rStyle w:val="PageNumber"/>
              <w:rFonts w:ascii="Times New Roman" w:hAnsi="Times New Roman" w:cs="Times New Roman"/>
            </w:rPr>
            <w:fldChar w:fldCharType="end"/>
          </w:r>
        </w:p>
      </w:tc>
      <w:tc>
        <w:tcPr>
          <w:tcW w:w="1670" w:type="pct"/>
        </w:tcPr>
        <w:p w14:paraId="75B7B0EF" w14:textId="77777777" w:rsidR="00F538CF" w:rsidRPr="007A4167" w:rsidRDefault="00EC1F9E">
          <w:pPr>
            <w:pStyle w:val="Footer"/>
            <w:rPr>
              <w:rFonts w:ascii="Times New Roman" w:hAnsi="Times New Roman"/>
            </w:rPr>
          </w:pPr>
        </w:p>
      </w:tc>
    </w:tr>
    <w:tr w:rsidR="004D4D38" w:rsidRPr="007A4167" w14:paraId="40E413AC" w14:textId="77777777">
      <w:tc>
        <w:tcPr>
          <w:tcW w:w="5000" w:type="pct"/>
          <w:gridSpan w:val="3"/>
        </w:tcPr>
        <w:p w14:paraId="12C594A4" w14:textId="77777777" w:rsidR="00F538CF" w:rsidRPr="007A4167" w:rsidRDefault="00EC1F9E">
          <w:pPr>
            <w:pStyle w:val="Footer"/>
            <w:rPr>
              <w:rFonts w:ascii="Times New Roman" w:hAnsi="Times New Roman"/>
            </w:rPr>
          </w:pPr>
        </w:p>
      </w:tc>
    </w:tr>
  </w:tbl>
  <w:p w14:paraId="08D37AE4" w14:textId="77777777" w:rsidR="00DB2040" w:rsidRPr="007A4167" w:rsidRDefault="00EC1F9E" w:rsidP="00F538CF">
    <w:pPr>
      <w:pStyle w:val="Footer"/>
      <w:rPr>
        <w:rFonts w:ascii="Times New Roman" w:hAnsi="Times New Roman"/>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06"/>
      <w:gridCol w:w="3006"/>
      <w:gridCol w:w="3015"/>
    </w:tblGrid>
    <w:tr w:rsidR="004D4D38" w14:paraId="60D3CD33" w14:textId="77777777">
      <w:tc>
        <w:tcPr>
          <w:tcW w:w="1665" w:type="pct"/>
        </w:tcPr>
        <w:p w14:paraId="000C8736" w14:textId="77777777" w:rsidR="00F538CF" w:rsidRPr="00F538CF" w:rsidRDefault="00EC1F9E">
          <w:pPr>
            <w:pStyle w:val="Footer"/>
          </w:pPr>
        </w:p>
      </w:tc>
      <w:tc>
        <w:tcPr>
          <w:tcW w:w="1665" w:type="pct"/>
        </w:tcPr>
        <w:p w14:paraId="7BABE560" w14:textId="77777777" w:rsidR="00F538CF" w:rsidRPr="00F538CF" w:rsidRDefault="00CF363F" w:rsidP="0005548B">
          <w:pPr>
            <w:pStyle w:val="StandardAshurst"/>
            <w:jc w:val="center"/>
            <w:rPr>
              <w:rStyle w:val="PageNumber"/>
            </w:rPr>
          </w:pPr>
          <w:r w:rsidRPr="00F538CF">
            <w:rPr>
              <w:rStyle w:val="PageNumber"/>
            </w:rPr>
            <w:fldChar w:fldCharType="begin"/>
          </w:r>
          <w:r w:rsidRPr="00F538CF">
            <w:rPr>
              <w:rStyle w:val="PageNumber"/>
            </w:rPr>
            <w:instrText xml:space="preserve"> PAGE  \* MERGEFORMAT </w:instrText>
          </w:r>
          <w:r w:rsidRPr="00F538CF">
            <w:rPr>
              <w:rStyle w:val="PageNumber"/>
            </w:rPr>
            <w:fldChar w:fldCharType="separate"/>
          </w:r>
          <w:r w:rsidRPr="00F538CF">
            <w:rPr>
              <w:rStyle w:val="PageNumber"/>
              <w:noProof/>
            </w:rPr>
            <w:t>1</w:t>
          </w:r>
          <w:r w:rsidRPr="00F538CF">
            <w:rPr>
              <w:rStyle w:val="PageNumber"/>
            </w:rPr>
            <w:fldChar w:fldCharType="end"/>
          </w:r>
        </w:p>
      </w:tc>
      <w:tc>
        <w:tcPr>
          <w:tcW w:w="1670" w:type="pct"/>
        </w:tcPr>
        <w:p w14:paraId="0C8B8E03" w14:textId="77777777" w:rsidR="00F538CF" w:rsidRPr="00F538CF" w:rsidRDefault="00EC1F9E">
          <w:pPr>
            <w:pStyle w:val="Footer"/>
          </w:pPr>
        </w:p>
      </w:tc>
    </w:tr>
    <w:tr w:rsidR="004D4D38" w14:paraId="54897B73" w14:textId="77777777">
      <w:tc>
        <w:tcPr>
          <w:tcW w:w="5000" w:type="pct"/>
          <w:gridSpan w:val="3"/>
        </w:tcPr>
        <w:p w14:paraId="3873FBA3" w14:textId="605FA3C9" w:rsidR="00F538CF" w:rsidRPr="00F538CF" w:rsidRDefault="00CF363F">
          <w:pPr>
            <w:pStyle w:val="Footer"/>
          </w:pPr>
          <w:r w:rsidRPr="00F538CF">
            <w:fldChar w:fldCharType="begin"/>
          </w:r>
          <w:r>
            <w:instrText xml:space="preserve"> DOCPROPERTY  ashurstDocRef  \* MERGEFORMAT </w:instrText>
          </w:r>
          <w:r w:rsidRPr="00F538CF">
            <w:fldChar w:fldCharType="separate"/>
          </w:r>
          <w:r w:rsidR="00B344F6">
            <w:t>17:43\20 June 2023\</w:t>
          </w:r>
          <w:proofErr w:type="spellStart"/>
          <w:r w:rsidR="00B344F6">
            <w:t>EUS_ONPREM</w:t>
          </w:r>
          <w:proofErr w:type="spellEnd"/>
          <w:r w:rsidR="00B344F6">
            <w:t>\</w:t>
          </w:r>
          <w:proofErr w:type="spellStart"/>
          <w:r w:rsidR="00B344F6">
            <w:t>JYOW</w:t>
          </w:r>
          <w:proofErr w:type="spellEnd"/>
          <w:r w:rsidR="00B344F6">
            <w:t>\361153032.01</w:t>
          </w:r>
          <w:r w:rsidRPr="00F538CF">
            <w:fldChar w:fldCharType="end"/>
          </w:r>
        </w:p>
      </w:tc>
    </w:tr>
  </w:tbl>
  <w:p w14:paraId="3951BF72" w14:textId="77777777" w:rsidR="00DB2040" w:rsidRPr="00F538CF" w:rsidRDefault="00EC1F9E" w:rsidP="00F53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0FED0" w14:textId="77777777" w:rsidR="006F7E4E" w:rsidRDefault="00CF363F">
      <w:pPr>
        <w:spacing w:line="240" w:lineRule="auto"/>
      </w:pPr>
      <w:r>
        <w:separator/>
      </w:r>
    </w:p>
  </w:footnote>
  <w:footnote w:type="continuationSeparator" w:id="0">
    <w:p w14:paraId="4049BA24" w14:textId="77777777" w:rsidR="006F7E4E" w:rsidRDefault="00CF363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DE236" w14:textId="77777777" w:rsidR="00EC1F9E" w:rsidRDefault="00EC1F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83851" w14:textId="77777777" w:rsidR="006A0136" w:rsidRPr="004D1F7F" w:rsidRDefault="00EC1F9E" w:rsidP="00857A08">
    <w:pPr>
      <w:pStyle w:val="Header"/>
      <w:jc w:val="right"/>
      <w:rPr>
        <w:rFonts w:asciiTheme="majorBidi" w:hAnsiTheme="majorBidi" w:cstheme="majorBidi"/>
        <w:b/>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54649" w14:textId="77777777" w:rsidR="00EC1F9E" w:rsidRDefault="00EC1F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CBF0F" w14:textId="77777777" w:rsidR="00DB2040" w:rsidRPr="00F538CF" w:rsidRDefault="00EC1F9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AEA44" w14:textId="77777777" w:rsidR="00DB2040" w:rsidRPr="00F538CF" w:rsidRDefault="00EC1F9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66A32" w14:textId="77777777" w:rsidR="00DB2040" w:rsidRPr="00F538CF" w:rsidRDefault="00EC1F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1224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EFE1C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E8823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34F08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764AA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5E975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1C9DF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28B4B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6AF5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17007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9D66E0"/>
    <w:multiLevelType w:val="hybridMultilevel"/>
    <w:tmpl w:val="D406951A"/>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03E17314"/>
    <w:multiLevelType w:val="multilevel"/>
    <w:tmpl w:val="C816984C"/>
    <w:lvl w:ilvl="0">
      <w:start w:val="1"/>
      <w:numFmt w:val="decimal"/>
      <w:pStyle w:val="APPENDIXAshurst"/>
      <w:suff w:val="nothing"/>
      <w:lvlText w:val="appendix %1"/>
      <w:lvlJc w:val="left"/>
      <w:pPr>
        <w:ind w:left="0" w:firstLine="0"/>
      </w:pPr>
      <w:rPr>
        <w:rFonts w:hint="default"/>
        <w:b/>
        <w:i w:val="0"/>
        <w:sz w:val="18"/>
        <w:szCs w:val="18"/>
      </w:rPr>
    </w:lvl>
    <w:lvl w:ilvl="1">
      <w:start w:val="1"/>
      <w:numFmt w:val="none"/>
      <w:lvlRestart w:val="0"/>
      <w:suff w:val="nothing"/>
      <w:lvlText w:val=""/>
      <w:lvlJc w:val="left"/>
      <w:pPr>
        <w:ind w:left="0" w:firstLine="0"/>
      </w:pPr>
      <w:rPr>
        <w:rFonts w:hint="default"/>
        <w:b w:val="0"/>
        <w:i w:val="0"/>
        <w:sz w:val="18"/>
        <w:szCs w:val="18"/>
        <w:u w:val="none"/>
      </w:rPr>
    </w:lvl>
    <w:lvl w:ilvl="2">
      <w:start w:val="1"/>
      <w:numFmt w:val="none"/>
      <w:lvlRestart w:val="0"/>
      <w:suff w:val="nothing"/>
      <w:lvlText w:val=""/>
      <w:lvlJc w:val="left"/>
      <w:pPr>
        <w:ind w:left="0" w:firstLine="0"/>
      </w:pPr>
      <w:rPr>
        <w:rFonts w:hint="default"/>
        <w:b w:val="0"/>
        <w:i w:val="0"/>
        <w:caps w:val="0"/>
        <w:smallCaps w:val="0"/>
        <w:sz w:val="18"/>
        <w:u w:val="none"/>
      </w:rPr>
    </w:lvl>
    <w:lvl w:ilvl="3">
      <w:start w:val="1"/>
      <w:numFmt w:val="none"/>
      <w:lvlRestart w:val="0"/>
      <w:suff w:val="nothing"/>
      <w:lvlText w:val=""/>
      <w:lvlJc w:val="left"/>
      <w:pPr>
        <w:ind w:left="0" w:firstLine="0"/>
      </w:pPr>
      <w:rPr>
        <w:rFonts w:hint="default"/>
        <w:b w:val="0"/>
        <w:i w:val="0"/>
        <w:caps w:val="0"/>
        <w:smallCaps w:val="0"/>
        <w:sz w:val="18"/>
        <w:u w:val="none"/>
      </w:rPr>
    </w:lvl>
    <w:lvl w:ilvl="4">
      <w:start w:val="1"/>
      <w:numFmt w:val="none"/>
      <w:lvlRestart w:val="0"/>
      <w:suff w:val="nothing"/>
      <w:lvlText w:val=""/>
      <w:lvlJc w:val="left"/>
      <w:pPr>
        <w:ind w:left="0" w:firstLine="0"/>
      </w:pPr>
      <w:rPr>
        <w:rFonts w:hint="default"/>
        <w:b w:val="0"/>
        <w:i w:val="0"/>
        <w:caps/>
        <w:sz w:val="18"/>
        <w:u w:val="none"/>
      </w:rPr>
    </w:lvl>
    <w:lvl w:ilvl="5">
      <w:start w:val="27"/>
      <w:numFmt w:val="none"/>
      <w:lvlRestart w:val="0"/>
      <w:suff w:val="nothing"/>
      <w:lvlText w:val=""/>
      <w:lvlJc w:val="left"/>
      <w:pPr>
        <w:ind w:left="0" w:firstLine="0"/>
      </w:pPr>
      <w:rPr>
        <w:rFonts w:hint="default"/>
        <w:b w:val="0"/>
        <w:i w:val="0"/>
        <w:caps w:val="0"/>
        <w:sz w:val="18"/>
        <w:szCs w:val="18"/>
      </w:rPr>
    </w:lvl>
    <w:lvl w:ilvl="6">
      <w:start w:val="1"/>
      <w:numFmt w:val="none"/>
      <w:lvlRestart w:val="0"/>
      <w:suff w:val="nothing"/>
      <w:lvlText w:val=""/>
      <w:lvlJc w:val="left"/>
      <w:pPr>
        <w:ind w:left="0" w:firstLine="0"/>
      </w:pPr>
      <w:rPr>
        <w:rFonts w:ascii="Times New Roman" w:hAnsi="Times New Roman" w:hint="default"/>
        <w:b w:val="0"/>
        <w:i w:val="0"/>
      </w:rPr>
    </w:lvl>
    <w:lvl w:ilvl="7">
      <w:start w:val="1"/>
      <w:numFmt w:val="none"/>
      <w:lvlRestart w:val="0"/>
      <w:suff w:val="nothing"/>
      <w:lvlText w:val=""/>
      <w:lvlJc w:val="left"/>
      <w:pPr>
        <w:ind w:left="0" w:firstLine="0"/>
      </w:pPr>
      <w:rPr>
        <w:rFonts w:ascii="Times New Roman" w:hAnsi="Times New Roman" w:hint="default"/>
        <w:b w:val="0"/>
        <w:i w:val="0"/>
      </w:rPr>
    </w:lvl>
    <w:lvl w:ilvl="8">
      <w:start w:val="1"/>
      <w:numFmt w:val="none"/>
      <w:lvlRestart w:val="0"/>
      <w:suff w:val="nothing"/>
      <w:lvlText w:val=""/>
      <w:lvlJc w:val="left"/>
      <w:pPr>
        <w:ind w:left="0" w:firstLine="0"/>
      </w:pPr>
      <w:rPr>
        <w:rFonts w:ascii="Times New Roman" w:hAnsi="Times New Roman" w:hint="default"/>
        <w:b w:val="0"/>
        <w:i w:val="0"/>
      </w:rPr>
    </w:lvl>
  </w:abstractNum>
  <w:abstractNum w:abstractNumId="12" w15:restartNumberingAfterBreak="0">
    <w:nsid w:val="094A0D3F"/>
    <w:multiLevelType w:val="hybridMultilevel"/>
    <w:tmpl w:val="3968D1D6"/>
    <w:lvl w:ilvl="0" w:tplc="8BB29714">
      <w:start w:val="1"/>
      <w:numFmt w:val="bullet"/>
      <w:pStyle w:val="Bullet2Ashurst"/>
      <w:lvlText w:val=""/>
      <w:lvlJc w:val="left"/>
      <w:pPr>
        <w:tabs>
          <w:tab w:val="num" w:pos="1406"/>
        </w:tabs>
        <w:ind w:left="1406" w:hanging="624"/>
      </w:pPr>
      <w:rPr>
        <w:rFonts w:ascii="Symbol" w:hAnsi="Symbol" w:hint="default"/>
        <w:b w:val="0"/>
        <w:i w:val="0"/>
        <w:sz w:val="18"/>
        <w:szCs w:val="18"/>
      </w:rPr>
    </w:lvl>
    <w:lvl w:ilvl="1" w:tplc="76449B60" w:tentative="1">
      <w:start w:val="1"/>
      <w:numFmt w:val="bullet"/>
      <w:lvlText w:val="o"/>
      <w:lvlJc w:val="left"/>
      <w:pPr>
        <w:tabs>
          <w:tab w:val="num" w:pos="1440"/>
        </w:tabs>
        <w:ind w:left="1440" w:hanging="360"/>
      </w:pPr>
      <w:rPr>
        <w:rFonts w:ascii="Courier New" w:hAnsi="Courier New" w:cs="Courier New" w:hint="default"/>
      </w:rPr>
    </w:lvl>
    <w:lvl w:ilvl="2" w:tplc="3EEE98A0" w:tentative="1">
      <w:start w:val="1"/>
      <w:numFmt w:val="bullet"/>
      <w:lvlText w:val=""/>
      <w:lvlJc w:val="left"/>
      <w:pPr>
        <w:tabs>
          <w:tab w:val="num" w:pos="2160"/>
        </w:tabs>
        <w:ind w:left="2160" w:hanging="360"/>
      </w:pPr>
      <w:rPr>
        <w:rFonts w:ascii="Wingdings" w:hAnsi="Wingdings" w:hint="default"/>
      </w:rPr>
    </w:lvl>
    <w:lvl w:ilvl="3" w:tplc="DDE2C004" w:tentative="1">
      <w:start w:val="1"/>
      <w:numFmt w:val="bullet"/>
      <w:lvlText w:val=""/>
      <w:lvlJc w:val="left"/>
      <w:pPr>
        <w:tabs>
          <w:tab w:val="num" w:pos="2880"/>
        </w:tabs>
        <w:ind w:left="2880" w:hanging="360"/>
      </w:pPr>
      <w:rPr>
        <w:rFonts w:ascii="Symbol" w:hAnsi="Symbol" w:hint="default"/>
      </w:rPr>
    </w:lvl>
    <w:lvl w:ilvl="4" w:tplc="DE38C338" w:tentative="1">
      <w:start w:val="1"/>
      <w:numFmt w:val="bullet"/>
      <w:lvlText w:val="o"/>
      <w:lvlJc w:val="left"/>
      <w:pPr>
        <w:tabs>
          <w:tab w:val="num" w:pos="3600"/>
        </w:tabs>
        <w:ind w:left="3600" w:hanging="360"/>
      </w:pPr>
      <w:rPr>
        <w:rFonts w:ascii="Courier New" w:hAnsi="Courier New" w:cs="Courier New" w:hint="default"/>
      </w:rPr>
    </w:lvl>
    <w:lvl w:ilvl="5" w:tplc="DADCBA9C" w:tentative="1">
      <w:start w:val="1"/>
      <w:numFmt w:val="bullet"/>
      <w:lvlText w:val=""/>
      <w:lvlJc w:val="left"/>
      <w:pPr>
        <w:tabs>
          <w:tab w:val="num" w:pos="4320"/>
        </w:tabs>
        <w:ind w:left="4320" w:hanging="360"/>
      </w:pPr>
      <w:rPr>
        <w:rFonts w:ascii="Wingdings" w:hAnsi="Wingdings" w:hint="default"/>
      </w:rPr>
    </w:lvl>
    <w:lvl w:ilvl="6" w:tplc="8662CAB2" w:tentative="1">
      <w:start w:val="1"/>
      <w:numFmt w:val="bullet"/>
      <w:lvlText w:val=""/>
      <w:lvlJc w:val="left"/>
      <w:pPr>
        <w:tabs>
          <w:tab w:val="num" w:pos="5040"/>
        </w:tabs>
        <w:ind w:left="5040" w:hanging="360"/>
      </w:pPr>
      <w:rPr>
        <w:rFonts w:ascii="Symbol" w:hAnsi="Symbol" w:hint="default"/>
      </w:rPr>
    </w:lvl>
    <w:lvl w:ilvl="7" w:tplc="B7D29260" w:tentative="1">
      <w:start w:val="1"/>
      <w:numFmt w:val="bullet"/>
      <w:lvlText w:val="o"/>
      <w:lvlJc w:val="left"/>
      <w:pPr>
        <w:tabs>
          <w:tab w:val="num" w:pos="5760"/>
        </w:tabs>
        <w:ind w:left="5760" w:hanging="360"/>
      </w:pPr>
      <w:rPr>
        <w:rFonts w:ascii="Courier New" w:hAnsi="Courier New" w:cs="Courier New" w:hint="default"/>
      </w:rPr>
    </w:lvl>
    <w:lvl w:ilvl="8" w:tplc="0442D12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A21331E"/>
    <w:multiLevelType w:val="multilevel"/>
    <w:tmpl w:val="F89AD8C6"/>
    <w:lvl w:ilvl="0">
      <w:start w:val="1"/>
      <w:numFmt w:val="decimal"/>
      <w:pStyle w:val="SCHEDULEAshurst"/>
      <w:suff w:val="nothing"/>
      <w:lvlText w:val="schedule %1"/>
      <w:lvlJc w:val="left"/>
      <w:pPr>
        <w:ind w:left="0" w:firstLine="0"/>
      </w:pPr>
      <w:rPr>
        <w:rFonts w:hint="default"/>
        <w:b/>
        <w:i w:val="0"/>
        <w:sz w:val="18"/>
      </w:rPr>
    </w:lvl>
    <w:lvl w:ilvl="1">
      <w:start w:val="1"/>
      <w:numFmt w:val="none"/>
      <w:lvlRestart w:val="0"/>
      <w:suff w:val="nothing"/>
      <w:lvlText w:val=""/>
      <w:lvlJc w:val="left"/>
      <w:pPr>
        <w:ind w:left="0" w:firstLine="0"/>
      </w:pPr>
      <w:rPr>
        <w:rFonts w:hint="default"/>
        <w:b w:val="0"/>
        <w:i w:val="0"/>
        <w:sz w:val="18"/>
        <w:szCs w:val="18"/>
        <w:u w:val="none"/>
      </w:rPr>
    </w:lvl>
    <w:lvl w:ilvl="2">
      <w:start w:val="1"/>
      <w:numFmt w:val="none"/>
      <w:lvlRestart w:val="0"/>
      <w:suff w:val="nothing"/>
      <w:lvlText w:val=""/>
      <w:lvlJc w:val="left"/>
      <w:pPr>
        <w:ind w:left="0" w:firstLine="0"/>
      </w:pPr>
      <w:rPr>
        <w:rFonts w:hint="default"/>
        <w:b w:val="0"/>
        <w:i w:val="0"/>
        <w:caps w:val="0"/>
        <w:smallCaps w:val="0"/>
        <w:sz w:val="18"/>
        <w:u w:val="none"/>
      </w:rPr>
    </w:lvl>
    <w:lvl w:ilvl="3">
      <w:start w:val="1"/>
      <w:numFmt w:val="none"/>
      <w:lvlRestart w:val="0"/>
      <w:suff w:val="nothing"/>
      <w:lvlText w:val=""/>
      <w:lvlJc w:val="left"/>
      <w:pPr>
        <w:ind w:left="0" w:firstLine="0"/>
      </w:pPr>
      <w:rPr>
        <w:rFonts w:hint="default"/>
        <w:b w:val="0"/>
        <w:i w:val="0"/>
        <w:caps w:val="0"/>
        <w:smallCaps w:val="0"/>
        <w:sz w:val="18"/>
        <w:u w:val="none"/>
      </w:rPr>
    </w:lvl>
    <w:lvl w:ilvl="4">
      <w:start w:val="1"/>
      <w:numFmt w:val="none"/>
      <w:lvlRestart w:val="0"/>
      <w:suff w:val="nothing"/>
      <w:lvlText w:val=""/>
      <w:lvlJc w:val="left"/>
      <w:pPr>
        <w:ind w:left="0" w:firstLine="0"/>
      </w:pPr>
      <w:rPr>
        <w:rFonts w:hint="default"/>
        <w:b w:val="0"/>
        <w:i w:val="0"/>
        <w:caps/>
        <w:sz w:val="18"/>
        <w:u w:val="none"/>
      </w:rPr>
    </w:lvl>
    <w:lvl w:ilvl="5">
      <w:start w:val="27"/>
      <w:numFmt w:val="none"/>
      <w:lvlRestart w:val="0"/>
      <w:suff w:val="nothing"/>
      <w:lvlText w:val=""/>
      <w:lvlJc w:val="left"/>
      <w:pPr>
        <w:ind w:left="0" w:firstLine="0"/>
      </w:pPr>
      <w:rPr>
        <w:rFonts w:hint="default"/>
        <w:b w:val="0"/>
        <w:i w:val="0"/>
        <w:caps w:val="0"/>
        <w:sz w:val="18"/>
        <w:szCs w:val="18"/>
      </w:rPr>
    </w:lvl>
    <w:lvl w:ilvl="6">
      <w:start w:val="1"/>
      <w:numFmt w:val="none"/>
      <w:lvlRestart w:val="0"/>
      <w:suff w:val="nothing"/>
      <w:lvlText w:val=""/>
      <w:lvlJc w:val="left"/>
      <w:pPr>
        <w:ind w:left="0" w:firstLine="0"/>
      </w:pPr>
      <w:rPr>
        <w:rFonts w:ascii="Times New Roman" w:hAnsi="Times New Roman" w:hint="default"/>
        <w:b w:val="0"/>
        <w:i w:val="0"/>
      </w:rPr>
    </w:lvl>
    <w:lvl w:ilvl="7">
      <w:start w:val="1"/>
      <w:numFmt w:val="none"/>
      <w:lvlRestart w:val="0"/>
      <w:suff w:val="nothing"/>
      <w:lvlText w:val=""/>
      <w:lvlJc w:val="left"/>
      <w:pPr>
        <w:ind w:left="0" w:firstLine="0"/>
      </w:pPr>
      <w:rPr>
        <w:rFonts w:ascii="Times New Roman" w:hAnsi="Times New Roman" w:hint="default"/>
        <w:b w:val="0"/>
        <w:i w:val="0"/>
      </w:rPr>
    </w:lvl>
    <w:lvl w:ilvl="8">
      <w:start w:val="1"/>
      <w:numFmt w:val="none"/>
      <w:lvlRestart w:val="0"/>
      <w:suff w:val="nothing"/>
      <w:lvlText w:val=""/>
      <w:lvlJc w:val="left"/>
      <w:pPr>
        <w:ind w:left="0" w:firstLine="0"/>
      </w:pPr>
      <w:rPr>
        <w:rFonts w:ascii="Times New Roman" w:hAnsi="Times New Roman" w:hint="default"/>
        <w:b w:val="0"/>
        <w:i w:val="0"/>
      </w:rPr>
    </w:lvl>
  </w:abstractNum>
  <w:abstractNum w:abstractNumId="14" w15:restartNumberingAfterBreak="0">
    <w:nsid w:val="0B3F2518"/>
    <w:multiLevelType w:val="multilevel"/>
    <w:tmpl w:val="026C2912"/>
    <w:name w:val="DefSubOC"/>
    <w:lvl w:ilvl="0">
      <w:start w:val="1"/>
      <w:numFmt w:val="none"/>
      <w:pStyle w:val="DefClauseOCAshurst"/>
      <w:suff w:val="nothing"/>
      <w:lvlText w:val=""/>
      <w:lvlJc w:val="left"/>
      <w:pPr>
        <w:ind w:left="0" w:firstLine="0"/>
      </w:pPr>
      <w:rPr>
        <w:rFonts w:hint="default"/>
      </w:rPr>
    </w:lvl>
    <w:lvl w:ilvl="1">
      <w:start w:val="1"/>
      <w:numFmt w:val="lowerLetter"/>
      <w:pStyle w:val="DefSubOCAshurst"/>
      <w:lvlText w:val="(%2)"/>
      <w:lvlJc w:val="left"/>
      <w:pPr>
        <w:tabs>
          <w:tab w:val="num" w:pos="709"/>
        </w:tabs>
        <w:ind w:left="709" w:hanging="709"/>
      </w:pPr>
      <w:rPr>
        <w:rFonts w:hint="default"/>
      </w:rPr>
    </w:lvl>
    <w:lvl w:ilvl="2">
      <w:start w:val="1"/>
      <w:numFmt w:val="lowerRoman"/>
      <w:pStyle w:val="DefSubSubOCAshurst"/>
      <w:lvlText w:val="(%3)"/>
      <w:lvlJc w:val="left"/>
      <w:pPr>
        <w:tabs>
          <w:tab w:val="num" w:pos="1276"/>
        </w:tabs>
        <w:ind w:left="1276" w:hanging="567"/>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5" w15:restartNumberingAfterBreak="0">
    <w:nsid w:val="0F5433D4"/>
    <w:multiLevelType w:val="multilevel"/>
    <w:tmpl w:val="08090023"/>
    <w:styleLink w:val="ArticleSection"/>
    <w:lvl w:ilvl="0">
      <w:start w:val="1"/>
      <w:numFmt w:val="upperRoman"/>
      <w:lvlText w:val="Article %1."/>
      <w:lvlJc w:val="left"/>
      <w:pPr>
        <w:ind w:left="0" w:firstLine="0"/>
      </w:pPr>
      <w:rPr>
        <w:rFonts w:asciiTheme="minorHAnsi" w:eastAsiaTheme="minorEastAsia" w:hAnsiTheme="minorHAnsi" w:cstheme="minorBidi"/>
        <w:szCs w:val="26"/>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0F77C36"/>
    <w:multiLevelType w:val="hybridMultilevel"/>
    <w:tmpl w:val="0804BDDA"/>
    <w:lvl w:ilvl="0" w:tplc="B558A194">
      <w:start w:val="1"/>
      <w:numFmt w:val="bullet"/>
      <w:pStyle w:val="Bullet1Ashurst"/>
      <w:lvlText w:val=""/>
      <w:lvlJc w:val="left"/>
      <w:pPr>
        <w:tabs>
          <w:tab w:val="num" w:pos="1406"/>
        </w:tabs>
        <w:ind w:left="1406" w:hanging="624"/>
      </w:pPr>
      <w:rPr>
        <w:rFonts w:ascii="Symbol" w:hAnsi="Symbol" w:hint="default"/>
        <w:b w:val="0"/>
        <w:i w:val="0"/>
        <w:sz w:val="18"/>
        <w:szCs w:val="18"/>
      </w:rPr>
    </w:lvl>
    <w:lvl w:ilvl="1" w:tplc="46FCBCA6" w:tentative="1">
      <w:start w:val="1"/>
      <w:numFmt w:val="bullet"/>
      <w:lvlText w:val="o"/>
      <w:lvlJc w:val="left"/>
      <w:pPr>
        <w:tabs>
          <w:tab w:val="num" w:pos="1440"/>
        </w:tabs>
        <w:ind w:left="1440" w:hanging="360"/>
      </w:pPr>
      <w:rPr>
        <w:rFonts w:ascii="Courier New" w:hAnsi="Courier New" w:cs="Courier New" w:hint="default"/>
      </w:rPr>
    </w:lvl>
    <w:lvl w:ilvl="2" w:tplc="D2DCCEA2" w:tentative="1">
      <w:start w:val="1"/>
      <w:numFmt w:val="bullet"/>
      <w:lvlText w:val=""/>
      <w:lvlJc w:val="left"/>
      <w:pPr>
        <w:tabs>
          <w:tab w:val="num" w:pos="2160"/>
        </w:tabs>
        <w:ind w:left="2160" w:hanging="360"/>
      </w:pPr>
      <w:rPr>
        <w:rFonts w:ascii="Wingdings" w:hAnsi="Wingdings" w:hint="default"/>
      </w:rPr>
    </w:lvl>
    <w:lvl w:ilvl="3" w:tplc="D4704AF8" w:tentative="1">
      <w:start w:val="1"/>
      <w:numFmt w:val="bullet"/>
      <w:lvlText w:val=""/>
      <w:lvlJc w:val="left"/>
      <w:pPr>
        <w:tabs>
          <w:tab w:val="num" w:pos="2880"/>
        </w:tabs>
        <w:ind w:left="2880" w:hanging="360"/>
      </w:pPr>
      <w:rPr>
        <w:rFonts w:ascii="Symbol" w:hAnsi="Symbol" w:hint="default"/>
      </w:rPr>
    </w:lvl>
    <w:lvl w:ilvl="4" w:tplc="9606CAB6" w:tentative="1">
      <w:start w:val="1"/>
      <w:numFmt w:val="bullet"/>
      <w:lvlText w:val="o"/>
      <w:lvlJc w:val="left"/>
      <w:pPr>
        <w:tabs>
          <w:tab w:val="num" w:pos="3600"/>
        </w:tabs>
        <w:ind w:left="3600" w:hanging="360"/>
      </w:pPr>
      <w:rPr>
        <w:rFonts w:ascii="Courier New" w:hAnsi="Courier New" w:cs="Courier New" w:hint="default"/>
      </w:rPr>
    </w:lvl>
    <w:lvl w:ilvl="5" w:tplc="321EFE1A" w:tentative="1">
      <w:start w:val="1"/>
      <w:numFmt w:val="bullet"/>
      <w:lvlText w:val=""/>
      <w:lvlJc w:val="left"/>
      <w:pPr>
        <w:tabs>
          <w:tab w:val="num" w:pos="4320"/>
        </w:tabs>
        <w:ind w:left="4320" w:hanging="360"/>
      </w:pPr>
      <w:rPr>
        <w:rFonts w:ascii="Wingdings" w:hAnsi="Wingdings" w:hint="default"/>
      </w:rPr>
    </w:lvl>
    <w:lvl w:ilvl="6" w:tplc="E3EA270A" w:tentative="1">
      <w:start w:val="1"/>
      <w:numFmt w:val="bullet"/>
      <w:lvlText w:val=""/>
      <w:lvlJc w:val="left"/>
      <w:pPr>
        <w:tabs>
          <w:tab w:val="num" w:pos="5040"/>
        </w:tabs>
        <w:ind w:left="5040" w:hanging="360"/>
      </w:pPr>
      <w:rPr>
        <w:rFonts w:ascii="Symbol" w:hAnsi="Symbol" w:hint="default"/>
      </w:rPr>
    </w:lvl>
    <w:lvl w:ilvl="7" w:tplc="0C600B18" w:tentative="1">
      <w:start w:val="1"/>
      <w:numFmt w:val="bullet"/>
      <w:lvlText w:val="o"/>
      <w:lvlJc w:val="left"/>
      <w:pPr>
        <w:tabs>
          <w:tab w:val="num" w:pos="5760"/>
        </w:tabs>
        <w:ind w:left="5760" w:hanging="360"/>
      </w:pPr>
      <w:rPr>
        <w:rFonts w:ascii="Courier New" w:hAnsi="Courier New" w:cs="Courier New" w:hint="default"/>
      </w:rPr>
    </w:lvl>
    <w:lvl w:ilvl="8" w:tplc="03F07C1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05088"/>
    <w:multiLevelType w:val="multilevel"/>
    <w:tmpl w:val="54665EE0"/>
    <w:lvl w:ilvl="0">
      <w:start w:val="1"/>
      <w:numFmt w:val="decimal"/>
      <w:pStyle w:val="AltH1OCAshurst"/>
      <w:lvlText w:val="%1."/>
      <w:lvlJc w:val="left"/>
      <w:pPr>
        <w:tabs>
          <w:tab w:val="num" w:pos="709"/>
        </w:tabs>
        <w:ind w:left="709" w:hanging="709"/>
      </w:pPr>
      <w:rPr>
        <w:rFonts w:hint="default"/>
        <w:b w:val="0"/>
        <w:i w:val="0"/>
        <w:color w:val="auto"/>
      </w:rPr>
    </w:lvl>
    <w:lvl w:ilvl="1">
      <w:start w:val="1"/>
      <w:numFmt w:val="decimal"/>
      <w:pStyle w:val="AltH2OCAshurst"/>
      <w:lvlText w:val="%1.%2"/>
      <w:lvlJc w:val="left"/>
      <w:pPr>
        <w:tabs>
          <w:tab w:val="num" w:pos="709"/>
        </w:tabs>
        <w:ind w:left="709" w:hanging="709"/>
      </w:pPr>
      <w:rPr>
        <w:rFonts w:hint="default"/>
        <w:b w:val="0"/>
        <w:i w:val="0"/>
      </w:rPr>
    </w:lvl>
    <w:lvl w:ilvl="2">
      <w:start w:val="1"/>
      <w:numFmt w:val="lowerLetter"/>
      <w:pStyle w:val="AltH3OCAshurst"/>
      <w:lvlText w:val="(%3)"/>
      <w:lvlJc w:val="left"/>
      <w:pPr>
        <w:tabs>
          <w:tab w:val="num" w:pos="709"/>
        </w:tabs>
        <w:ind w:left="709" w:hanging="709"/>
      </w:pPr>
      <w:rPr>
        <w:rFonts w:hint="default"/>
        <w:b w:val="0"/>
        <w:i w:val="0"/>
        <w:color w:val="auto"/>
      </w:rPr>
    </w:lvl>
    <w:lvl w:ilvl="3">
      <w:start w:val="1"/>
      <w:numFmt w:val="lowerRoman"/>
      <w:pStyle w:val="AltH4OCAshurst"/>
      <w:lvlText w:val="(%4)"/>
      <w:lvlJc w:val="left"/>
      <w:pPr>
        <w:tabs>
          <w:tab w:val="num" w:pos="1276"/>
        </w:tabs>
        <w:ind w:left="1276" w:hanging="567"/>
      </w:pPr>
      <w:rPr>
        <w:rFonts w:hint="default"/>
        <w:b w:val="0"/>
        <w:i w:val="0"/>
      </w:rPr>
    </w:lvl>
    <w:lvl w:ilvl="4">
      <w:start w:val="1"/>
      <w:numFmt w:val="upperLetter"/>
      <w:pStyle w:val="AltH5OCAshurst"/>
      <w:lvlText w:val="(%5)"/>
      <w:lvlJc w:val="left"/>
      <w:pPr>
        <w:tabs>
          <w:tab w:val="num" w:pos="1843"/>
        </w:tabs>
        <w:ind w:left="1843" w:hanging="567"/>
      </w:pPr>
      <w:rPr>
        <w:rFonts w:hint="default"/>
        <w:b w:val="0"/>
        <w:i w:val="0"/>
        <w:color w:val="auto"/>
      </w:rPr>
    </w:lvl>
    <w:lvl w:ilvl="5">
      <w:start w:val="1"/>
      <w:numFmt w:val="decimal"/>
      <w:pStyle w:val="AltH6OCAshurst"/>
      <w:lvlText w:val="(%6)"/>
      <w:lvlJc w:val="left"/>
      <w:pPr>
        <w:tabs>
          <w:tab w:val="num" w:pos="2410"/>
        </w:tabs>
        <w:ind w:left="2410" w:hanging="567"/>
      </w:pPr>
      <w:rPr>
        <w:rFonts w:hint="default"/>
        <w:b w:val="0"/>
        <w:i w:val="0"/>
      </w:rPr>
    </w:lvl>
    <w:lvl w:ilvl="6">
      <w:start w:val="1"/>
      <w:numFmt w:val="lowerLetter"/>
      <w:pStyle w:val="AltH7OCAshurst"/>
      <w:lvlText w:val="(%7)"/>
      <w:lvlJc w:val="left"/>
      <w:pPr>
        <w:tabs>
          <w:tab w:val="num" w:pos="2977"/>
        </w:tabs>
        <w:ind w:left="2977" w:hanging="567"/>
      </w:pPr>
      <w:rPr>
        <w:rFonts w:hint="default"/>
        <w:b w:val="0"/>
        <w:i w:val="0"/>
      </w:rPr>
    </w:lvl>
    <w:lvl w:ilvl="7">
      <w:start w:val="1"/>
      <w:numFmt w:val="lowerRoman"/>
      <w:pStyle w:val="AltH8OCAshurst"/>
      <w:lvlText w:val="(%8)"/>
      <w:lvlJc w:val="left"/>
      <w:pPr>
        <w:tabs>
          <w:tab w:val="num" w:pos="3544"/>
        </w:tabs>
        <w:ind w:left="3544" w:hanging="567"/>
      </w:pPr>
      <w:rPr>
        <w:rFonts w:hint="default"/>
        <w:b w:val="0"/>
        <w:i w:val="0"/>
      </w:rPr>
    </w:lvl>
    <w:lvl w:ilvl="8">
      <w:numFmt w:val="none"/>
      <w:lvlText w:val=""/>
      <w:lvlJc w:val="left"/>
      <w:pPr>
        <w:tabs>
          <w:tab w:val="num" w:pos="0"/>
        </w:tabs>
        <w:ind w:left="0" w:firstLine="0"/>
      </w:pPr>
      <w:rPr>
        <w:rFonts w:hint="default"/>
      </w:rPr>
    </w:lvl>
  </w:abstractNum>
  <w:abstractNum w:abstractNumId="18" w15:restartNumberingAfterBreak="0">
    <w:nsid w:val="19480FCF"/>
    <w:multiLevelType w:val="multilevel"/>
    <w:tmpl w:val="CE7E7482"/>
    <w:name w:val="Alt2_RecitalsAshurst"/>
    <w:lvl w:ilvl="0">
      <w:start w:val="1"/>
      <w:numFmt w:val="upperLetter"/>
      <w:pStyle w:val="Alt2RecitalsAshurst"/>
      <w:lvlText w:val="(%1)"/>
      <w:lvlJc w:val="left"/>
      <w:pPr>
        <w:tabs>
          <w:tab w:val="num" w:pos="782"/>
        </w:tabs>
        <w:ind w:left="782" w:hanging="782"/>
      </w:pPr>
      <w:rPr>
        <w:rFonts w:hint="default"/>
        <w:b w:val="0"/>
        <w:i w:val="0"/>
        <w:sz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3901"/>
        </w:tabs>
        <w:ind w:left="3901" w:hanging="624"/>
      </w:pPr>
      <w:rPr>
        <w:rFonts w:hint="default"/>
      </w:rPr>
    </w:lvl>
    <w:lvl w:ilvl="7">
      <w:start w:val="1"/>
      <w:numFmt w:val="none"/>
      <w:lvlText w:val=""/>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19" w15:restartNumberingAfterBreak="0">
    <w:nsid w:val="197B3B3A"/>
    <w:multiLevelType w:val="hybridMultilevel"/>
    <w:tmpl w:val="DE3EB592"/>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0" w15:restartNumberingAfterBreak="0">
    <w:nsid w:val="1F2A4CDE"/>
    <w:multiLevelType w:val="multilevel"/>
    <w:tmpl w:val="3FB22108"/>
    <w:lvl w:ilvl="0">
      <w:start w:val="1"/>
      <w:numFmt w:val="decimal"/>
      <w:pStyle w:val="Heading1"/>
      <w:lvlText w:val="%1."/>
      <w:lvlJc w:val="left"/>
      <w:pPr>
        <w:tabs>
          <w:tab w:val="num" w:pos="782"/>
        </w:tabs>
        <w:ind w:left="782" w:hanging="782"/>
      </w:pPr>
      <w:rPr>
        <w:rFonts w:hint="default"/>
        <w:b w:val="0"/>
        <w:i w:val="0"/>
        <w:sz w:val="18"/>
      </w:rPr>
    </w:lvl>
    <w:lvl w:ilvl="1">
      <w:start w:val="1"/>
      <w:numFmt w:val="decimal"/>
      <w:pStyle w:val="Heading2"/>
      <w:lvlText w:val="%1.%2"/>
      <w:lvlJc w:val="left"/>
      <w:pPr>
        <w:tabs>
          <w:tab w:val="num" w:pos="782"/>
        </w:tabs>
        <w:ind w:left="782" w:hanging="782"/>
      </w:pPr>
      <w:rPr>
        <w:rFonts w:hint="default"/>
        <w:b w:val="0"/>
        <w:i w:val="0"/>
        <w:sz w:val="18"/>
      </w:rPr>
    </w:lvl>
    <w:lvl w:ilvl="2">
      <w:start w:val="1"/>
      <w:numFmt w:val="lowerLetter"/>
      <w:pStyle w:val="Heading3"/>
      <w:lvlText w:val="(%3)"/>
      <w:lvlJc w:val="left"/>
      <w:pPr>
        <w:tabs>
          <w:tab w:val="num" w:pos="1406"/>
        </w:tabs>
        <w:ind w:left="1406" w:hanging="624"/>
      </w:pPr>
      <w:rPr>
        <w:rFonts w:hint="default"/>
        <w:b w:val="0"/>
        <w:i w:val="0"/>
        <w:sz w:val="18"/>
      </w:rPr>
    </w:lvl>
    <w:lvl w:ilvl="3">
      <w:start w:val="1"/>
      <w:numFmt w:val="lowerRoman"/>
      <w:pStyle w:val="Heading4"/>
      <w:lvlText w:val="(%4)"/>
      <w:lvlJc w:val="left"/>
      <w:pPr>
        <w:tabs>
          <w:tab w:val="num" w:pos="2030"/>
        </w:tabs>
        <w:ind w:left="2030" w:hanging="624"/>
      </w:pPr>
      <w:rPr>
        <w:rFonts w:hint="default"/>
        <w:b w:val="0"/>
        <w:i w:val="0"/>
        <w:sz w:val="18"/>
      </w:rPr>
    </w:lvl>
    <w:lvl w:ilvl="4">
      <w:start w:val="1"/>
      <w:numFmt w:val="upperLetter"/>
      <w:pStyle w:val="Heading5"/>
      <w:lvlText w:val="(%5)"/>
      <w:lvlJc w:val="left"/>
      <w:pPr>
        <w:tabs>
          <w:tab w:val="num" w:pos="2654"/>
        </w:tabs>
        <w:ind w:left="2654" w:hanging="624"/>
      </w:pPr>
      <w:rPr>
        <w:rFonts w:hint="default"/>
        <w:b w:val="0"/>
        <w:i w:val="0"/>
        <w:sz w:val="18"/>
      </w:rPr>
    </w:lvl>
    <w:lvl w:ilvl="5">
      <w:start w:val="1"/>
      <w:numFmt w:val="decimal"/>
      <w:lvlRestart w:val="0"/>
      <w:pStyle w:val="Heading6"/>
      <w:lvlText w:val="%6."/>
      <w:lvlJc w:val="left"/>
      <w:pPr>
        <w:tabs>
          <w:tab w:val="num" w:pos="782"/>
        </w:tabs>
        <w:ind w:left="782" w:hanging="782"/>
      </w:pPr>
      <w:rPr>
        <w:rFonts w:hint="default"/>
        <w:b w:val="0"/>
        <w:i w:val="0"/>
        <w:sz w:val="18"/>
      </w:rPr>
    </w:lvl>
    <w:lvl w:ilvl="6">
      <w:start w:val="1"/>
      <w:numFmt w:val="decimal"/>
      <w:pStyle w:val="Heading7"/>
      <w:lvlText w:val="%6.%7"/>
      <w:lvlJc w:val="left"/>
      <w:pPr>
        <w:tabs>
          <w:tab w:val="num" w:pos="782"/>
        </w:tabs>
        <w:ind w:left="782" w:hanging="782"/>
      </w:pPr>
      <w:rPr>
        <w:rFonts w:hint="default"/>
        <w:b w:val="0"/>
        <w:i w:val="0"/>
        <w:sz w:val="18"/>
      </w:rPr>
    </w:lvl>
    <w:lvl w:ilvl="7">
      <w:start w:val="1"/>
      <w:numFmt w:val="lowerLetter"/>
      <w:pStyle w:val="Heading8"/>
      <w:lvlText w:val="(%8)"/>
      <w:lvlJc w:val="left"/>
      <w:pPr>
        <w:tabs>
          <w:tab w:val="num" w:pos="1406"/>
        </w:tabs>
        <w:ind w:left="1406" w:hanging="624"/>
      </w:pPr>
      <w:rPr>
        <w:rFonts w:hint="default"/>
        <w:b w:val="0"/>
        <w:i w:val="0"/>
        <w:sz w:val="18"/>
      </w:rPr>
    </w:lvl>
    <w:lvl w:ilvl="8">
      <w:start w:val="1"/>
      <w:numFmt w:val="lowerRoman"/>
      <w:pStyle w:val="Heading9"/>
      <w:lvlText w:val="(%9)"/>
      <w:lvlJc w:val="left"/>
      <w:pPr>
        <w:tabs>
          <w:tab w:val="num" w:pos="2030"/>
        </w:tabs>
        <w:ind w:left="2030" w:hanging="624"/>
      </w:pPr>
      <w:rPr>
        <w:rFonts w:hint="default"/>
        <w:b w:val="0"/>
        <w:i w:val="0"/>
        <w:sz w:val="18"/>
      </w:rPr>
    </w:lvl>
  </w:abstractNum>
  <w:abstractNum w:abstractNumId="21" w15:restartNumberingAfterBreak="0">
    <w:nsid w:val="20E07680"/>
    <w:multiLevelType w:val="multilevel"/>
    <w:tmpl w:val="0809001D"/>
    <w:name w:val="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C4229C"/>
    <w:multiLevelType w:val="hybridMultilevel"/>
    <w:tmpl w:val="E85E1464"/>
    <w:lvl w:ilvl="0" w:tplc="08090001">
      <w:start w:val="1"/>
      <w:numFmt w:val="bullet"/>
      <w:lvlText w:val=""/>
      <w:lvlJc w:val="left"/>
      <w:pPr>
        <w:ind w:left="1349" w:hanging="360"/>
      </w:pPr>
      <w:rPr>
        <w:rFonts w:ascii="Symbol" w:hAnsi="Symbol" w:hint="default"/>
      </w:rPr>
    </w:lvl>
    <w:lvl w:ilvl="1" w:tplc="08090003" w:tentative="1">
      <w:start w:val="1"/>
      <w:numFmt w:val="bullet"/>
      <w:lvlText w:val="o"/>
      <w:lvlJc w:val="left"/>
      <w:pPr>
        <w:ind w:left="2069" w:hanging="360"/>
      </w:pPr>
      <w:rPr>
        <w:rFonts w:ascii="Courier New" w:hAnsi="Courier New" w:cs="Courier New" w:hint="default"/>
      </w:rPr>
    </w:lvl>
    <w:lvl w:ilvl="2" w:tplc="08090005" w:tentative="1">
      <w:start w:val="1"/>
      <w:numFmt w:val="bullet"/>
      <w:lvlText w:val=""/>
      <w:lvlJc w:val="left"/>
      <w:pPr>
        <w:ind w:left="2789" w:hanging="360"/>
      </w:pPr>
      <w:rPr>
        <w:rFonts w:ascii="Wingdings" w:hAnsi="Wingdings" w:hint="default"/>
      </w:rPr>
    </w:lvl>
    <w:lvl w:ilvl="3" w:tplc="08090001" w:tentative="1">
      <w:start w:val="1"/>
      <w:numFmt w:val="bullet"/>
      <w:lvlText w:val=""/>
      <w:lvlJc w:val="left"/>
      <w:pPr>
        <w:ind w:left="3509" w:hanging="360"/>
      </w:pPr>
      <w:rPr>
        <w:rFonts w:ascii="Symbol" w:hAnsi="Symbol" w:hint="default"/>
      </w:rPr>
    </w:lvl>
    <w:lvl w:ilvl="4" w:tplc="08090003" w:tentative="1">
      <w:start w:val="1"/>
      <w:numFmt w:val="bullet"/>
      <w:lvlText w:val="o"/>
      <w:lvlJc w:val="left"/>
      <w:pPr>
        <w:ind w:left="4229" w:hanging="360"/>
      </w:pPr>
      <w:rPr>
        <w:rFonts w:ascii="Courier New" w:hAnsi="Courier New" w:cs="Courier New" w:hint="default"/>
      </w:rPr>
    </w:lvl>
    <w:lvl w:ilvl="5" w:tplc="08090005" w:tentative="1">
      <w:start w:val="1"/>
      <w:numFmt w:val="bullet"/>
      <w:lvlText w:val=""/>
      <w:lvlJc w:val="left"/>
      <w:pPr>
        <w:ind w:left="4949" w:hanging="360"/>
      </w:pPr>
      <w:rPr>
        <w:rFonts w:ascii="Wingdings" w:hAnsi="Wingdings" w:hint="default"/>
      </w:rPr>
    </w:lvl>
    <w:lvl w:ilvl="6" w:tplc="08090001" w:tentative="1">
      <w:start w:val="1"/>
      <w:numFmt w:val="bullet"/>
      <w:lvlText w:val=""/>
      <w:lvlJc w:val="left"/>
      <w:pPr>
        <w:ind w:left="5669" w:hanging="360"/>
      </w:pPr>
      <w:rPr>
        <w:rFonts w:ascii="Symbol" w:hAnsi="Symbol" w:hint="default"/>
      </w:rPr>
    </w:lvl>
    <w:lvl w:ilvl="7" w:tplc="08090003" w:tentative="1">
      <w:start w:val="1"/>
      <w:numFmt w:val="bullet"/>
      <w:lvlText w:val="o"/>
      <w:lvlJc w:val="left"/>
      <w:pPr>
        <w:ind w:left="6389" w:hanging="360"/>
      </w:pPr>
      <w:rPr>
        <w:rFonts w:ascii="Courier New" w:hAnsi="Courier New" w:cs="Courier New" w:hint="default"/>
      </w:rPr>
    </w:lvl>
    <w:lvl w:ilvl="8" w:tplc="08090005" w:tentative="1">
      <w:start w:val="1"/>
      <w:numFmt w:val="bullet"/>
      <w:lvlText w:val=""/>
      <w:lvlJc w:val="left"/>
      <w:pPr>
        <w:ind w:left="7109" w:hanging="360"/>
      </w:pPr>
      <w:rPr>
        <w:rFonts w:ascii="Wingdings" w:hAnsi="Wingdings" w:hint="default"/>
      </w:rPr>
    </w:lvl>
  </w:abstractNum>
  <w:abstractNum w:abstractNumId="23" w15:restartNumberingAfterBreak="0">
    <w:nsid w:val="2265377C"/>
    <w:multiLevelType w:val="multilevel"/>
    <w:tmpl w:val="93BE6644"/>
    <w:lvl w:ilvl="0">
      <w:start w:val="1"/>
      <w:numFmt w:val="decimal"/>
      <w:pStyle w:val="H1OCAshurst"/>
      <w:lvlText w:val="%1."/>
      <w:lvlJc w:val="left"/>
      <w:pPr>
        <w:tabs>
          <w:tab w:val="num" w:pos="709"/>
        </w:tabs>
        <w:ind w:left="709" w:hanging="709"/>
      </w:pPr>
      <w:rPr>
        <w:rFonts w:hint="default"/>
        <w:b w:val="0"/>
        <w:i w:val="0"/>
      </w:rPr>
    </w:lvl>
    <w:lvl w:ilvl="1">
      <w:start w:val="1"/>
      <w:numFmt w:val="decimal"/>
      <w:pStyle w:val="H2OCAshurst"/>
      <w:lvlText w:val="%1.%2"/>
      <w:lvlJc w:val="left"/>
      <w:pPr>
        <w:tabs>
          <w:tab w:val="num" w:pos="709"/>
        </w:tabs>
        <w:ind w:left="709" w:hanging="709"/>
      </w:pPr>
      <w:rPr>
        <w:rFonts w:hint="default"/>
        <w:b w:val="0"/>
        <w:i w:val="0"/>
      </w:rPr>
    </w:lvl>
    <w:lvl w:ilvl="2">
      <w:start w:val="1"/>
      <w:numFmt w:val="lowerLetter"/>
      <w:pStyle w:val="H3OCAshurst"/>
      <w:lvlText w:val="(%3)"/>
      <w:lvlJc w:val="left"/>
      <w:pPr>
        <w:tabs>
          <w:tab w:val="num" w:pos="709"/>
        </w:tabs>
        <w:ind w:left="709" w:hanging="709"/>
      </w:pPr>
      <w:rPr>
        <w:rFonts w:hint="default"/>
        <w:b w:val="0"/>
        <w:i w:val="0"/>
      </w:rPr>
    </w:lvl>
    <w:lvl w:ilvl="3">
      <w:start w:val="1"/>
      <w:numFmt w:val="lowerRoman"/>
      <w:pStyle w:val="H4OCAshurst"/>
      <w:lvlText w:val="(%4)"/>
      <w:lvlJc w:val="left"/>
      <w:pPr>
        <w:tabs>
          <w:tab w:val="num" w:pos="1276"/>
        </w:tabs>
        <w:ind w:left="1276" w:hanging="567"/>
      </w:pPr>
      <w:rPr>
        <w:rFonts w:hint="default"/>
        <w:b w:val="0"/>
        <w:i w:val="0"/>
      </w:rPr>
    </w:lvl>
    <w:lvl w:ilvl="4">
      <w:start w:val="1"/>
      <w:numFmt w:val="upperLetter"/>
      <w:pStyle w:val="H5OCAshurst"/>
      <w:lvlText w:val="(%5)"/>
      <w:lvlJc w:val="left"/>
      <w:pPr>
        <w:tabs>
          <w:tab w:val="num" w:pos="1843"/>
        </w:tabs>
        <w:ind w:left="1843" w:hanging="567"/>
      </w:pPr>
      <w:rPr>
        <w:rFonts w:hint="default"/>
        <w:b w:val="0"/>
        <w:i w:val="0"/>
      </w:rPr>
    </w:lvl>
    <w:lvl w:ilvl="5">
      <w:start w:val="1"/>
      <w:numFmt w:val="decimal"/>
      <w:pStyle w:val="H6OCAshurst"/>
      <w:lvlText w:val="(%6)"/>
      <w:lvlJc w:val="left"/>
      <w:pPr>
        <w:tabs>
          <w:tab w:val="num" w:pos="2410"/>
        </w:tabs>
        <w:ind w:left="2410" w:hanging="567"/>
      </w:pPr>
      <w:rPr>
        <w:rFonts w:hint="default"/>
        <w:b w:val="0"/>
        <w:i w:val="0"/>
      </w:rPr>
    </w:lvl>
    <w:lvl w:ilvl="6">
      <w:start w:val="1"/>
      <w:numFmt w:val="lowerLetter"/>
      <w:pStyle w:val="H7OCAshurst"/>
      <w:lvlText w:val="(%7)"/>
      <w:lvlJc w:val="left"/>
      <w:pPr>
        <w:tabs>
          <w:tab w:val="num" w:pos="2977"/>
        </w:tabs>
        <w:ind w:left="2977" w:hanging="567"/>
      </w:pPr>
      <w:rPr>
        <w:rFonts w:hint="default"/>
        <w:b w:val="0"/>
        <w:i w:val="0"/>
      </w:rPr>
    </w:lvl>
    <w:lvl w:ilvl="7">
      <w:start w:val="1"/>
      <w:numFmt w:val="upperRoman"/>
      <w:pStyle w:val="H8OCAshurst"/>
      <w:lvlText w:val="(%8)"/>
      <w:lvlJc w:val="left"/>
      <w:pPr>
        <w:tabs>
          <w:tab w:val="num" w:pos="3544"/>
        </w:tabs>
        <w:ind w:left="3544" w:hanging="567"/>
      </w:pPr>
      <w:rPr>
        <w:rFonts w:hint="default"/>
        <w:b w:val="0"/>
        <w:i w:val="0"/>
        <w:sz w:val="20"/>
      </w:rPr>
    </w:lvl>
    <w:lvl w:ilvl="8">
      <w:start w:val="1"/>
      <w:numFmt w:val="none"/>
      <w:lvlText w:val=""/>
      <w:lvlJc w:val="left"/>
      <w:pPr>
        <w:tabs>
          <w:tab w:val="num" w:pos="0"/>
        </w:tabs>
        <w:ind w:left="0" w:firstLine="0"/>
      </w:pPr>
      <w:rPr>
        <w:rFonts w:hint="default"/>
      </w:rPr>
    </w:lvl>
  </w:abstractNum>
  <w:abstractNum w:abstractNumId="24" w15:restartNumberingAfterBreak="0">
    <w:nsid w:val="25711A1A"/>
    <w:multiLevelType w:val="multilevel"/>
    <w:tmpl w:val="0809001D"/>
    <w:name w:val="AltH1toH6Ashurst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9D34DD1"/>
    <w:multiLevelType w:val="multilevel"/>
    <w:tmpl w:val="0809001D"/>
    <w:styleLink w:val="1ai"/>
    <w:lvl w:ilvl="0">
      <w:start w:val="1"/>
      <w:numFmt w:val="decimal"/>
      <w:lvlText w:val="%1)"/>
      <w:lvlJc w:val="left"/>
      <w:pPr>
        <w:ind w:left="360" w:hanging="360"/>
      </w:pPr>
      <w:rPr>
        <w:rFonts w:asciiTheme="minorHAnsi" w:eastAsiaTheme="minorEastAsia" w:hAnsiTheme="minorHAnsi" w:cstheme="minorBidi"/>
        <w:szCs w:val="2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29EA3829"/>
    <w:multiLevelType w:val="multilevel"/>
    <w:tmpl w:val="07BE7142"/>
    <w:lvl w:ilvl="0">
      <w:start w:val="1"/>
      <w:numFmt w:val="decimal"/>
      <w:pStyle w:val="SH1Ashurst"/>
      <w:lvlText w:val="%1."/>
      <w:lvlJc w:val="left"/>
      <w:pPr>
        <w:tabs>
          <w:tab w:val="num" w:pos="782"/>
        </w:tabs>
        <w:ind w:left="782" w:hanging="782"/>
      </w:pPr>
      <w:rPr>
        <w:rFonts w:hint="default"/>
        <w:b w:val="0"/>
        <w:i w:val="0"/>
        <w:sz w:val="18"/>
      </w:rPr>
    </w:lvl>
    <w:lvl w:ilvl="1">
      <w:start w:val="1"/>
      <w:numFmt w:val="decimal"/>
      <w:pStyle w:val="SH2Ashurst"/>
      <w:lvlText w:val="%1.%2"/>
      <w:lvlJc w:val="left"/>
      <w:pPr>
        <w:tabs>
          <w:tab w:val="num" w:pos="782"/>
        </w:tabs>
        <w:ind w:left="782" w:hanging="782"/>
      </w:pPr>
      <w:rPr>
        <w:rFonts w:hint="default"/>
        <w:b w:val="0"/>
        <w:i w:val="0"/>
        <w:sz w:val="18"/>
        <w:szCs w:val="18"/>
        <w:u w:val="none"/>
      </w:rPr>
    </w:lvl>
    <w:lvl w:ilvl="2">
      <w:start w:val="1"/>
      <w:numFmt w:val="lowerLetter"/>
      <w:pStyle w:val="SH3Ashurst"/>
      <w:lvlText w:val="(%3)"/>
      <w:lvlJc w:val="left"/>
      <w:pPr>
        <w:tabs>
          <w:tab w:val="num" w:pos="1406"/>
        </w:tabs>
        <w:ind w:left="1406" w:hanging="624"/>
      </w:pPr>
      <w:rPr>
        <w:rFonts w:hint="default"/>
        <w:b w:val="0"/>
        <w:i w:val="0"/>
        <w:caps w:val="0"/>
        <w:smallCaps w:val="0"/>
        <w:sz w:val="18"/>
        <w:u w:val="none"/>
      </w:rPr>
    </w:lvl>
    <w:lvl w:ilvl="3">
      <w:start w:val="1"/>
      <w:numFmt w:val="lowerRoman"/>
      <w:pStyle w:val="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27" w15:restartNumberingAfterBreak="0">
    <w:nsid w:val="2A523641"/>
    <w:multiLevelType w:val="multilevel"/>
    <w:tmpl w:val="0809001D"/>
    <w:name w:val="Alt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B70236B"/>
    <w:multiLevelType w:val="multilevel"/>
    <w:tmpl w:val="0809001D"/>
    <w:name w:val="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2CFF7910"/>
    <w:multiLevelType w:val="multilevel"/>
    <w:tmpl w:val="663C9EFA"/>
    <w:name w:val="AltPartiesAshurst"/>
    <w:lvl w:ilvl="0">
      <w:start w:val="1"/>
      <w:numFmt w:val="decimal"/>
      <w:pStyle w:val="AltPartiesAshurst"/>
      <w:lvlText w:val="(%1)"/>
      <w:lvlJc w:val="left"/>
      <w:pPr>
        <w:tabs>
          <w:tab w:val="num" w:pos="782"/>
        </w:tabs>
        <w:ind w:left="782" w:hanging="782"/>
      </w:pPr>
      <w:rPr>
        <w:rFonts w:hint="default"/>
        <w:b w:val="0"/>
        <w:i w:val="0"/>
        <w:sz w:val="18"/>
      </w:rPr>
    </w:lvl>
    <w:lvl w:ilvl="1">
      <w:start w:val="1"/>
      <w:numFmt w:val="none"/>
      <w:lvlText w:val=""/>
      <w:lvlJc w:val="left"/>
      <w:pPr>
        <w:tabs>
          <w:tab w:val="num" w:pos="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szCs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0" w15:restartNumberingAfterBreak="0">
    <w:nsid w:val="302E0DF5"/>
    <w:multiLevelType w:val="multilevel"/>
    <w:tmpl w:val="6018EBCE"/>
    <w:lvl w:ilvl="0">
      <w:start w:val="1"/>
      <w:numFmt w:val="upperRoman"/>
      <w:pStyle w:val="AltRecitalsAshurst"/>
      <w:lvlText w:val="%1."/>
      <w:lvlJc w:val="left"/>
      <w:pPr>
        <w:tabs>
          <w:tab w:val="num" w:pos="782"/>
        </w:tabs>
        <w:ind w:left="782" w:hanging="782"/>
      </w:pPr>
      <w:rPr>
        <w:rFonts w:hint="default"/>
        <w:b w:val="0"/>
        <w:i w:val="0"/>
        <w:sz w:val="18"/>
        <w:szCs w:val="18"/>
      </w:rPr>
    </w:lvl>
    <w:lvl w:ilvl="1">
      <w:numFmt w:val="none"/>
      <w:lvlText w:val=""/>
      <w:lvlJc w:val="left"/>
      <w:pPr>
        <w:tabs>
          <w:tab w:val="num" w:pos="-3168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1" w15:restartNumberingAfterBreak="0">
    <w:nsid w:val="3076543B"/>
    <w:multiLevelType w:val="multilevel"/>
    <w:tmpl w:val="0809001D"/>
    <w:name w:val="SH1toS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3993C5E"/>
    <w:multiLevelType w:val="hybridMultilevel"/>
    <w:tmpl w:val="4CA01FE0"/>
    <w:lvl w:ilvl="0" w:tplc="08090001">
      <w:start w:val="1"/>
      <w:numFmt w:val="bullet"/>
      <w:lvlText w:val=""/>
      <w:lvlJc w:val="left"/>
      <w:pPr>
        <w:ind w:left="2061" w:hanging="360"/>
      </w:pPr>
      <w:rPr>
        <w:rFonts w:ascii="Symbol" w:hAnsi="Symbol" w:hint="default"/>
      </w:rPr>
    </w:lvl>
    <w:lvl w:ilvl="1" w:tplc="08090001">
      <w:start w:val="1"/>
      <w:numFmt w:val="bullet"/>
      <w:lvlText w:val=""/>
      <w:lvlJc w:val="left"/>
      <w:pPr>
        <w:ind w:left="2781" w:hanging="360"/>
      </w:pPr>
      <w:rPr>
        <w:rFonts w:ascii="Symbol" w:hAnsi="Symbol"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3" w15:restartNumberingAfterBreak="0">
    <w:nsid w:val="37673702"/>
    <w:multiLevelType w:val="multilevel"/>
    <w:tmpl w:val="0809001D"/>
    <w:name w:val="SH1toSH6Ashurst3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E2557C4"/>
    <w:multiLevelType w:val="multilevel"/>
    <w:tmpl w:val="0809001D"/>
    <w:name w:val="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07F7A8A"/>
    <w:multiLevelType w:val="multilevel"/>
    <w:tmpl w:val="32928FFA"/>
    <w:lvl w:ilvl="0">
      <w:start w:val="1"/>
      <w:numFmt w:val="decimal"/>
      <w:pStyle w:val="AltSH1Ashurst"/>
      <w:lvlText w:val="%1."/>
      <w:lvlJc w:val="left"/>
      <w:pPr>
        <w:tabs>
          <w:tab w:val="num" w:pos="782"/>
        </w:tabs>
        <w:ind w:left="782" w:hanging="782"/>
      </w:pPr>
      <w:rPr>
        <w:rFonts w:hint="default"/>
        <w:b w:val="0"/>
        <w:i w:val="0"/>
        <w:sz w:val="18"/>
      </w:rPr>
    </w:lvl>
    <w:lvl w:ilvl="1">
      <w:start w:val="1"/>
      <w:numFmt w:val="decimal"/>
      <w:pStyle w:val="AltSH2Ashurst"/>
      <w:lvlText w:val="%1.%2"/>
      <w:lvlJc w:val="left"/>
      <w:pPr>
        <w:tabs>
          <w:tab w:val="num" w:pos="782"/>
        </w:tabs>
        <w:ind w:left="782" w:hanging="782"/>
      </w:pPr>
      <w:rPr>
        <w:rFonts w:hint="default"/>
        <w:b w:val="0"/>
        <w:i w:val="0"/>
        <w:sz w:val="18"/>
        <w:szCs w:val="18"/>
        <w:u w:val="none"/>
      </w:rPr>
    </w:lvl>
    <w:lvl w:ilvl="2">
      <w:start w:val="1"/>
      <w:numFmt w:val="lowerLetter"/>
      <w:pStyle w:val="AltSH3Ashurst"/>
      <w:lvlText w:val="(%3)"/>
      <w:lvlJc w:val="left"/>
      <w:pPr>
        <w:tabs>
          <w:tab w:val="num" w:pos="1406"/>
        </w:tabs>
        <w:ind w:left="1406" w:hanging="624"/>
      </w:pPr>
      <w:rPr>
        <w:rFonts w:hint="default"/>
        <w:b w:val="0"/>
        <w:i w:val="0"/>
        <w:caps w:val="0"/>
        <w:smallCaps w:val="0"/>
        <w:sz w:val="18"/>
        <w:u w:val="none"/>
      </w:rPr>
    </w:lvl>
    <w:lvl w:ilvl="3">
      <w:start w:val="1"/>
      <w:numFmt w:val="lowerRoman"/>
      <w:pStyle w:val="Alt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Alt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36" w15:restartNumberingAfterBreak="0">
    <w:nsid w:val="41AE6517"/>
    <w:multiLevelType w:val="multilevel"/>
    <w:tmpl w:val="773C9390"/>
    <w:lvl w:ilvl="0">
      <w:start w:val="1"/>
      <w:numFmt w:val="upperLetter"/>
      <w:pStyle w:val="RecitalsAshurst"/>
      <w:lvlText w:val="(%1)"/>
      <w:lvlJc w:val="left"/>
      <w:pPr>
        <w:tabs>
          <w:tab w:val="num" w:pos="782"/>
        </w:tabs>
        <w:ind w:left="782" w:hanging="782"/>
      </w:pPr>
      <w:rPr>
        <w:rFonts w:hint="default"/>
        <w:b w:val="0"/>
        <w:i w:val="0"/>
        <w:sz w:val="18"/>
        <w:szCs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7" w15:restartNumberingAfterBreak="0">
    <w:nsid w:val="44302431"/>
    <w:multiLevelType w:val="multilevel"/>
    <w:tmpl w:val="1DBE7566"/>
    <w:lvl w:ilvl="0">
      <w:start w:val="1"/>
      <w:numFmt w:val="decimal"/>
      <w:pStyle w:val="TableNum1OCAshurst"/>
      <w:suff w:val="nothing"/>
      <w:lvlText w:val="%1."/>
      <w:lvlJc w:val="left"/>
      <w:pPr>
        <w:ind w:left="0" w:firstLine="0"/>
      </w:pPr>
      <w:rPr>
        <w:rFonts w:hint="default"/>
        <w:b w:val="0"/>
        <w:i w:val="0"/>
        <w:sz w:val="18"/>
      </w:rPr>
    </w:lvl>
    <w:lvl w:ilvl="1">
      <w:start w:val="1"/>
      <w:numFmt w:val="decimal"/>
      <w:pStyle w:val="TableNum2OCAshurst"/>
      <w:suff w:val="nothing"/>
      <w:lvlText w:val="%1.%2"/>
      <w:lvlJc w:val="left"/>
      <w:pPr>
        <w:ind w:left="0" w:firstLine="0"/>
      </w:pPr>
      <w:rPr>
        <w:rFonts w:hint="default"/>
        <w:b w:val="0"/>
        <w:i w:val="0"/>
        <w:sz w:val="18"/>
        <w:szCs w:val="18"/>
      </w:rPr>
    </w:lvl>
    <w:lvl w:ilvl="2">
      <w:start w:val="1"/>
      <w:numFmt w:val="lowerLetter"/>
      <w:pStyle w:val="TableNum3OCAshurst"/>
      <w:suff w:val="nothing"/>
      <w:lvlText w:val="(%3)"/>
      <w:lvlJc w:val="left"/>
      <w:pPr>
        <w:ind w:left="0" w:firstLine="0"/>
      </w:pPr>
      <w:rPr>
        <w:rFonts w:hint="default"/>
        <w:b w:val="0"/>
        <w:i w:val="0"/>
        <w:sz w:val="18"/>
        <w:szCs w:val="18"/>
      </w:rPr>
    </w:lvl>
    <w:lvl w:ilvl="3">
      <w:start w:val="1"/>
      <w:numFmt w:val="lowerRoman"/>
      <w:pStyle w:val="TableNum4OCAshurst"/>
      <w:suff w:val="nothing"/>
      <w:lvlText w:val="(%4)"/>
      <w:lvlJc w:val="left"/>
      <w:pPr>
        <w:ind w:left="0" w:firstLine="0"/>
      </w:pPr>
      <w:rPr>
        <w:rFonts w:hint="default"/>
        <w:b w:val="0"/>
        <w:i w:val="0"/>
        <w:sz w:val="20"/>
        <w:szCs w:val="20"/>
      </w:rPr>
    </w:lvl>
    <w:lvl w:ilvl="4">
      <w:start w:val="1"/>
      <w:numFmt w:val="upperLetter"/>
      <w:pStyle w:val="TableNum5OCAshurst"/>
      <w:suff w:val="nothing"/>
      <w:lvlText w:val="(%5)"/>
      <w:lvlJc w:val="left"/>
      <w:pPr>
        <w:ind w:left="0" w:firstLine="0"/>
      </w:pPr>
      <w:rPr>
        <w:rFonts w:hint="default"/>
        <w:b w:val="0"/>
        <w:i w:val="0"/>
        <w:sz w:val="18"/>
        <w:szCs w:val="18"/>
      </w:rPr>
    </w:lvl>
    <w:lvl w:ilvl="5">
      <w:start w:val="1"/>
      <w:numFmt w:val="decimal"/>
      <w:pStyle w:val="TableNum6OC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8" w15:restartNumberingAfterBreak="0">
    <w:nsid w:val="4ED1674E"/>
    <w:multiLevelType w:val="multilevel"/>
    <w:tmpl w:val="7406A8A2"/>
    <w:lvl w:ilvl="0">
      <w:start w:val="1"/>
      <w:numFmt w:val="none"/>
      <w:pStyle w:val="DefinitionsClauseAshurst"/>
      <w:suff w:val="nothing"/>
      <w:lvlText w:val=""/>
      <w:lvlJc w:val="left"/>
      <w:pPr>
        <w:ind w:left="782" w:firstLine="0"/>
      </w:pPr>
      <w:rPr>
        <w:rFonts w:ascii="Verdana" w:hAnsi="Verdana" w:hint="default"/>
        <w:b w:val="0"/>
        <w:i w:val="0"/>
        <w:sz w:val="18"/>
        <w:szCs w:val="18"/>
      </w:rPr>
    </w:lvl>
    <w:lvl w:ilvl="1">
      <w:start w:val="1"/>
      <w:numFmt w:val="lowerLetter"/>
      <w:pStyle w:val="DefinitionsAshurst"/>
      <w:lvlText w:val="(%2)"/>
      <w:lvlJc w:val="left"/>
      <w:pPr>
        <w:tabs>
          <w:tab w:val="num" w:pos="766"/>
        </w:tabs>
        <w:ind w:left="766" w:hanging="624"/>
      </w:pPr>
      <w:rPr>
        <w:rFonts w:ascii="Times New Roman" w:hAnsi="Times New Roman" w:cs="Times New Roman" w:hint="default"/>
        <w:b w:val="0"/>
        <w:i w:val="0"/>
        <w:sz w:val="20"/>
        <w:szCs w:val="20"/>
      </w:rPr>
    </w:lvl>
    <w:lvl w:ilvl="2">
      <w:start w:val="1"/>
      <w:numFmt w:val="lowerRoman"/>
      <w:pStyle w:val="DefSubAshurst"/>
      <w:lvlText w:val="(%3)"/>
      <w:lvlJc w:val="left"/>
      <w:pPr>
        <w:tabs>
          <w:tab w:val="num" w:pos="2030"/>
        </w:tabs>
        <w:ind w:left="2030" w:hanging="624"/>
      </w:pPr>
      <w:rPr>
        <w:rFonts w:hint="default"/>
      </w:rPr>
    </w:lvl>
    <w:lvl w:ilvl="3">
      <w:start w:val="1"/>
      <w:numFmt w:val="upperLetter"/>
      <w:pStyle w:val="DefSubSubAshurst"/>
      <w:lvlText w:val="(%4)"/>
      <w:lvlJc w:val="left"/>
      <w:pPr>
        <w:tabs>
          <w:tab w:val="num" w:pos="2654"/>
        </w:tabs>
        <w:ind w:left="2654" w:hanging="624"/>
      </w:pPr>
      <w:rPr>
        <w:rFonts w:hint="default"/>
      </w:rPr>
    </w:lvl>
    <w:lvl w:ilvl="4">
      <w:start w:val="1"/>
      <w:numFmt w:val="none"/>
      <w:suff w:val="nothing"/>
      <w:lvlText w:val=""/>
      <w:lvlJc w:val="left"/>
      <w:pPr>
        <w:ind w:left="1564" w:firstLine="0"/>
      </w:pPr>
      <w:rPr>
        <w:rFonts w:hint="default"/>
      </w:rPr>
    </w:lvl>
    <w:lvl w:ilvl="5">
      <w:start w:val="1"/>
      <w:numFmt w:val="none"/>
      <w:suff w:val="nothing"/>
      <w:lvlText w:val=""/>
      <w:lvlJc w:val="left"/>
      <w:pPr>
        <w:ind w:left="1564" w:firstLine="0"/>
      </w:pPr>
      <w:rPr>
        <w:rFonts w:hint="default"/>
      </w:rPr>
    </w:lvl>
    <w:lvl w:ilvl="6">
      <w:start w:val="1"/>
      <w:numFmt w:val="none"/>
      <w:suff w:val="nothing"/>
      <w:lvlText w:val=""/>
      <w:lvlJc w:val="left"/>
      <w:pPr>
        <w:ind w:left="1564" w:firstLine="0"/>
      </w:pPr>
      <w:rPr>
        <w:rFonts w:hint="default"/>
      </w:rPr>
    </w:lvl>
    <w:lvl w:ilvl="7">
      <w:start w:val="1"/>
      <w:numFmt w:val="none"/>
      <w:suff w:val="nothing"/>
      <w:lvlText w:val=""/>
      <w:lvlJc w:val="left"/>
      <w:pPr>
        <w:ind w:left="1564" w:firstLine="0"/>
      </w:pPr>
      <w:rPr>
        <w:rFonts w:hint="default"/>
      </w:rPr>
    </w:lvl>
    <w:lvl w:ilvl="8">
      <w:start w:val="1"/>
      <w:numFmt w:val="none"/>
      <w:suff w:val="nothing"/>
      <w:lvlText w:val=""/>
      <w:lvlJc w:val="left"/>
      <w:pPr>
        <w:ind w:left="1564" w:firstLine="0"/>
      </w:pPr>
      <w:rPr>
        <w:rFonts w:hint="default"/>
      </w:rPr>
    </w:lvl>
  </w:abstractNum>
  <w:abstractNum w:abstractNumId="39" w15:restartNumberingAfterBreak="0">
    <w:nsid w:val="4F4B3ADF"/>
    <w:multiLevelType w:val="multilevel"/>
    <w:tmpl w:val="94F4EF9E"/>
    <w:lvl w:ilvl="0">
      <w:start w:val="1"/>
      <w:numFmt w:val="decimal"/>
      <w:pStyle w:val="H1Ashurst"/>
      <w:lvlText w:val="%1."/>
      <w:lvlJc w:val="left"/>
      <w:pPr>
        <w:tabs>
          <w:tab w:val="num" w:pos="782"/>
        </w:tabs>
        <w:ind w:left="782" w:hanging="782"/>
      </w:pPr>
      <w:rPr>
        <w:rFonts w:hint="default"/>
        <w:b w:val="0"/>
        <w:i w:val="0"/>
        <w:sz w:val="18"/>
      </w:rPr>
    </w:lvl>
    <w:lvl w:ilvl="1">
      <w:start w:val="1"/>
      <w:numFmt w:val="decimal"/>
      <w:pStyle w:val="H2Ashurst"/>
      <w:lvlText w:val="%1.%2"/>
      <w:lvlJc w:val="left"/>
      <w:pPr>
        <w:tabs>
          <w:tab w:val="num" w:pos="782"/>
        </w:tabs>
        <w:ind w:left="782" w:hanging="782"/>
      </w:pPr>
      <w:rPr>
        <w:rFonts w:hint="default"/>
        <w:b w:val="0"/>
        <w:i w:val="0"/>
        <w:sz w:val="18"/>
        <w:szCs w:val="18"/>
      </w:rPr>
    </w:lvl>
    <w:lvl w:ilvl="2">
      <w:start w:val="1"/>
      <w:numFmt w:val="lowerLetter"/>
      <w:pStyle w:val="H3Ashurst"/>
      <w:lvlText w:val="(%3)"/>
      <w:lvlJc w:val="left"/>
      <w:pPr>
        <w:tabs>
          <w:tab w:val="num" w:pos="1191"/>
        </w:tabs>
        <w:ind w:left="1191" w:hanging="624"/>
      </w:pPr>
      <w:rPr>
        <w:rFonts w:hint="default"/>
        <w:b w:val="0"/>
        <w:i w:val="0"/>
        <w:sz w:val="18"/>
        <w:szCs w:val="18"/>
      </w:rPr>
    </w:lvl>
    <w:lvl w:ilvl="3">
      <w:start w:val="1"/>
      <w:numFmt w:val="lowerRoman"/>
      <w:pStyle w:val="H4Ashurst"/>
      <w:lvlText w:val="(%4)"/>
      <w:lvlJc w:val="left"/>
      <w:pPr>
        <w:tabs>
          <w:tab w:val="num" w:pos="2030"/>
        </w:tabs>
        <w:ind w:left="2030" w:hanging="624"/>
      </w:pPr>
      <w:rPr>
        <w:rFonts w:hint="default"/>
        <w:b w:val="0"/>
        <w:i w:val="0"/>
        <w:sz w:val="18"/>
        <w:szCs w:val="18"/>
      </w:rPr>
    </w:lvl>
    <w:lvl w:ilvl="4">
      <w:start w:val="1"/>
      <w:numFmt w:val="upperLetter"/>
      <w:pStyle w:val="H5Ashurst"/>
      <w:lvlText w:val="(%5)"/>
      <w:lvlJc w:val="left"/>
      <w:pPr>
        <w:tabs>
          <w:tab w:val="num" w:pos="2653"/>
        </w:tabs>
        <w:ind w:left="2653" w:hanging="623"/>
      </w:pPr>
      <w:rPr>
        <w:rFonts w:hint="default"/>
        <w:b w:val="0"/>
        <w:i w:val="0"/>
        <w:sz w:val="18"/>
        <w:szCs w:val="18"/>
      </w:rPr>
    </w:lvl>
    <w:lvl w:ilvl="5">
      <w:start w:val="27"/>
      <w:numFmt w:val="lowerLetter"/>
      <w:pStyle w:val="H6Ashurst"/>
      <w:lvlText w:val="(%6)"/>
      <w:lvlJc w:val="left"/>
      <w:pPr>
        <w:tabs>
          <w:tab w:val="num" w:pos="3277"/>
        </w:tabs>
        <w:ind w:left="3277" w:hanging="624"/>
      </w:pPr>
      <w:rPr>
        <w:rFonts w:hint="default"/>
        <w:b w:val="0"/>
        <w:i w:val="0"/>
        <w:sz w:val="18"/>
        <w:szCs w:val="18"/>
      </w:rPr>
    </w:lvl>
    <w:lvl w:ilvl="6">
      <w:start w:val="1"/>
      <w:numFmt w:val="lowerLetter"/>
      <w:pStyle w:val="H7Ashurst"/>
      <w:lvlText w:val="(%7)"/>
      <w:lvlJc w:val="left"/>
      <w:pPr>
        <w:tabs>
          <w:tab w:val="num" w:pos="3901"/>
        </w:tabs>
        <w:ind w:left="3901" w:hanging="624"/>
      </w:pPr>
      <w:rPr>
        <w:rFonts w:hint="default"/>
      </w:rPr>
    </w:lvl>
    <w:lvl w:ilvl="7">
      <w:start w:val="1"/>
      <w:numFmt w:val="lowerRoman"/>
      <w:pStyle w:val="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40" w15:restartNumberingAfterBreak="0">
    <w:nsid w:val="5010434F"/>
    <w:multiLevelType w:val="hybridMultilevel"/>
    <w:tmpl w:val="FEA6BE8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1" w15:restartNumberingAfterBreak="0">
    <w:nsid w:val="57C67C4B"/>
    <w:multiLevelType w:val="hybridMultilevel"/>
    <w:tmpl w:val="E86E7356"/>
    <w:lvl w:ilvl="0" w:tplc="25C8F6C0">
      <w:start w:val="1"/>
      <w:numFmt w:val="bullet"/>
      <w:pStyle w:val="Bullet6Ashurst"/>
      <w:lvlText w:val=""/>
      <w:lvlJc w:val="left"/>
      <w:pPr>
        <w:tabs>
          <w:tab w:val="num" w:pos="3901"/>
        </w:tabs>
        <w:ind w:left="3901" w:hanging="624"/>
      </w:pPr>
      <w:rPr>
        <w:rFonts w:ascii="Symbol" w:hAnsi="Symbol" w:hint="default"/>
        <w:b w:val="0"/>
        <w:i w:val="0"/>
        <w:sz w:val="18"/>
        <w:szCs w:val="18"/>
      </w:rPr>
    </w:lvl>
    <w:lvl w:ilvl="1" w:tplc="ED50A932" w:tentative="1">
      <w:start w:val="1"/>
      <w:numFmt w:val="bullet"/>
      <w:lvlText w:val="o"/>
      <w:lvlJc w:val="left"/>
      <w:pPr>
        <w:tabs>
          <w:tab w:val="num" w:pos="1440"/>
        </w:tabs>
        <w:ind w:left="1440" w:hanging="360"/>
      </w:pPr>
      <w:rPr>
        <w:rFonts w:ascii="Courier New" w:hAnsi="Courier New" w:cs="Courier New" w:hint="default"/>
      </w:rPr>
    </w:lvl>
    <w:lvl w:ilvl="2" w:tplc="818070DC" w:tentative="1">
      <w:start w:val="1"/>
      <w:numFmt w:val="bullet"/>
      <w:lvlText w:val=""/>
      <w:lvlJc w:val="left"/>
      <w:pPr>
        <w:tabs>
          <w:tab w:val="num" w:pos="2160"/>
        </w:tabs>
        <w:ind w:left="2160" w:hanging="360"/>
      </w:pPr>
      <w:rPr>
        <w:rFonts w:ascii="Wingdings" w:hAnsi="Wingdings" w:hint="default"/>
      </w:rPr>
    </w:lvl>
    <w:lvl w:ilvl="3" w:tplc="434E5D2E" w:tentative="1">
      <w:start w:val="1"/>
      <w:numFmt w:val="bullet"/>
      <w:lvlText w:val=""/>
      <w:lvlJc w:val="left"/>
      <w:pPr>
        <w:tabs>
          <w:tab w:val="num" w:pos="2880"/>
        </w:tabs>
        <w:ind w:left="2880" w:hanging="360"/>
      </w:pPr>
      <w:rPr>
        <w:rFonts w:ascii="Symbol" w:hAnsi="Symbol" w:hint="default"/>
      </w:rPr>
    </w:lvl>
    <w:lvl w:ilvl="4" w:tplc="24AC4EB6" w:tentative="1">
      <w:start w:val="1"/>
      <w:numFmt w:val="bullet"/>
      <w:lvlText w:val="o"/>
      <w:lvlJc w:val="left"/>
      <w:pPr>
        <w:tabs>
          <w:tab w:val="num" w:pos="3600"/>
        </w:tabs>
        <w:ind w:left="3600" w:hanging="360"/>
      </w:pPr>
      <w:rPr>
        <w:rFonts w:ascii="Courier New" w:hAnsi="Courier New" w:cs="Courier New" w:hint="default"/>
      </w:rPr>
    </w:lvl>
    <w:lvl w:ilvl="5" w:tplc="F8BC0128" w:tentative="1">
      <w:start w:val="1"/>
      <w:numFmt w:val="bullet"/>
      <w:lvlText w:val=""/>
      <w:lvlJc w:val="left"/>
      <w:pPr>
        <w:tabs>
          <w:tab w:val="num" w:pos="4320"/>
        </w:tabs>
        <w:ind w:left="4320" w:hanging="360"/>
      </w:pPr>
      <w:rPr>
        <w:rFonts w:ascii="Wingdings" w:hAnsi="Wingdings" w:hint="default"/>
      </w:rPr>
    </w:lvl>
    <w:lvl w:ilvl="6" w:tplc="C55E5A5A" w:tentative="1">
      <w:start w:val="1"/>
      <w:numFmt w:val="bullet"/>
      <w:lvlText w:val=""/>
      <w:lvlJc w:val="left"/>
      <w:pPr>
        <w:tabs>
          <w:tab w:val="num" w:pos="5040"/>
        </w:tabs>
        <w:ind w:left="5040" w:hanging="360"/>
      </w:pPr>
      <w:rPr>
        <w:rFonts w:ascii="Symbol" w:hAnsi="Symbol" w:hint="default"/>
      </w:rPr>
    </w:lvl>
    <w:lvl w:ilvl="7" w:tplc="C5447E04" w:tentative="1">
      <w:start w:val="1"/>
      <w:numFmt w:val="bullet"/>
      <w:lvlText w:val="o"/>
      <w:lvlJc w:val="left"/>
      <w:pPr>
        <w:tabs>
          <w:tab w:val="num" w:pos="5760"/>
        </w:tabs>
        <w:ind w:left="5760" w:hanging="360"/>
      </w:pPr>
      <w:rPr>
        <w:rFonts w:ascii="Courier New" w:hAnsi="Courier New" w:cs="Courier New" w:hint="default"/>
      </w:rPr>
    </w:lvl>
    <w:lvl w:ilvl="8" w:tplc="C5C4921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D77A9B"/>
    <w:multiLevelType w:val="hybridMultilevel"/>
    <w:tmpl w:val="6F441260"/>
    <w:name w:val="WW8Num62"/>
    <w:lvl w:ilvl="0" w:tplc="A2E83906">
      <w:start w:val="1"/>
      <w:numFmt w:val="lowerRoman"/>
      <w:lvlText w:val="(%1)"/>
      <w:lvlJc w:val="left"/>
      <w:pPr>
        <w:tabs>
          <w:tab w:val="num" w:pos="2030"/>
        </w:tabs>
        <w:ind w:left="2030" w:hanging="624"/>
      </w:pPr>
      <w:rPr>
        <w:rFonts w:hint="default"/>
        <w:b w:val="0"/>
        <w:i w:val="0"/>
        <w:sz w:val="18"/>
        <w:szCs w:val="18"/>
      </w:rPr>
    </w:lvl>
    <w:lvl w:ilvl="1" w:tplc="140A3A20" w:tentative="1">
      <w:start w:val="1"/>
      <w:numFmt w:val="lowerLetter"/>
      <w:lvlText w:val="%2."/>
      <w:lvlJc w:val="left"/>
      <w:pPr>
        <w:tabs>
          <w:tab w:val="num" w:pos="1440"/>
        </w:tabs>
        <w:ind w:left="1440" w:hanging="360"/>
      </w:pPr>
    </w:lvl>
    <w:lvl w:ilvl="2" w:tplc="6CAA223A" w:tentative="1">
      <w:start w:val="1"/>
      <w:numFmt w:val="lowerRoman"/>
      <w:lvlText w:val="%3."/>
      <w:lvlJc w:val="right"/>
      <w:pPr>
        <w:tabs>
          <w:tab w:val="num" w:pos="2160"/>
        </w:tabs>
        <w:ind w:left="2160" w:hanging="180"/>
      </w:pPr>
    </w:lvl>
    <w:lvl w:ilvl="3" w:tplc="90800B0C" w:tentative="1">
      <w:start w:val="1"/>
      <w:numFmt w:val="decimal"/>
      <w:lvlText w:val="%4."/>
      <w:lvlJc w:val="left"/>
      <w:pPr>
        <w:tabs>
          <w:tab w:val="num" w:pos="2880"/>
        </w:tabs>
        <w:ind w:left="2880" w:hanging="360"/>
      </w:pPr>
    </w:lvl>
    <w:lvl w:ilvl="4" w:tplc="50FE9E24" w:tentative="1">
      <w:start w:val="1"/>
      <w:numFmt w:val="lowerLetter"/>
      <w:lvlText w:val="%5."/>
      <w:lvlJc w:val="left"/>
      <w:pPr>
        <w:tabs>
          <w:tab w:val="num" w:pos="3600"/>
        </w:tabs>
        <w:ind w:left="3600" w:hanging="360"/>
      </w:pPr>
    </w:lvl>
    <w:lvl w:ilvl="5" w:tplc="6064371A" w:tentative="1">
      <w:start w:val="1"/>
      <w:numFmt w:val="lowerRoman"/>
      <w:lvlText w:val="%6."/>
      <w:lvlJc w:val="right"/>
      <w:pPr>
        <w:tabs>
          <w:tab w:val="num" w:pos="4320"/>
        </w:tabs>
        <w:ind w:left="4320" w:hanging="180"/>
      </w:pPr>
    </w:lvl>
    <w:lvl w:ilvl="6" w:tplc="4CDCE27E" w:tentative="1">
      <w:start w:val="1"/>
      <w:numFmt w:val="decimal"/>
      <w:lvlText w:val="%7."/>
      <w:lvlJc w:val="left"/>
      <w:pPr>
        <w:tabs>
          <w:tab w:val="num" w:pos="5040"/>
        </w:tabs>
        <w:ind w:left="5040" w:hanging="360"/>
      </w:pPr>
    </w:lvl>
    <w:lvl w:ilvl="7" w:tplc="96FA7942" w:tentative="1">
      <w:start w:val="1"/>
      <w:numFmt w:val="lowerLetter"/>
      <w:lvlText w:val="%8."/>
      <w:lvlJc w:val="left"/>
      <w:pPr>
        <w:tabs>
          <w:tab w:val="num" w:pos="5760"/>
        </w:tabs>
        <w:ind w:left="5760" w:hanging="360"/>
      </w:pPr>
    </w:lvl>
    <w:lvl w:ilvl="8" w:tplc="51E2ABC6" w:tentative="1">
      <w:start w:val="1"/>
      <w:numFmt w:val="lowerRoman"/>
      <w:lvlText w:val="%9."/>
      <w:lvlJc w:val="right"/>
      <w:pPr>
        <w:tabs>
          <w:tab w:val="num" w:pos="6480"/>
        </w:tabs>
        <w:ind w:left="6480" w:hanging="180"/>
      </w:pPr>
    </w:lvl>
  </w:abstractNum>
  <w:abstractNum w:abstractNumId="43" w15:restartNumberingAfterBreak="0">
    <w:nsid w:val="590A2B1B"/>
    <w:multiLevelType w:val="multilevel"/>
    <w:tmpl w:val="0809001D"/>
    <w:name w:val="Alt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593047D9"/>
    <w:multiLevelType w:val="hybridMultilevel"/>
    <w:tmpl w:val="622A5644"/>
    <w:lvl w:ilvl="0" w:tplc="52668228">
      <w:start w:val="1"/>
      <w:numFmt w:val="bullet"/>
      <w:pStyle w:val="BulletAshurst"/>
      <w:lvlText w:val=""/>
      <w:lvlJc w:val="left"/>
      <w:pPr>
        <w:tabs>
          <w:tab w:val="num" w:pos="782"/>
        </w:tabs>
        <w:ind w:left="782" w:hanging="782"/>
      </w:pPr>
      <w:rPr>
        <w:rFonts w:ascii="Symbol" w:hAnsi="Symbol" w:hint="default"/>
      </w:rPr>
    </w:lvl>
    <w:lvl w:ilvl="1" w:tplc="A7B8E476" w:tentative="1">
      <w:start w:val="1"/>
      <w:numFmt w:val="bullet"/>
      <w:lvlText w:val="o"/>
      <w:lvlJc w:val="left"/>
      <w:pPr>
        <w:tabs>
          <w:tab w:val="num" w:pos="1440"/>
        </w:tabs>
        <w:ind w:left="1440" w:hanging="360"/>
      </w:pPr>
      <w:rPr>
        <w:rFonts w:ascii="Courier New" w:hAnsi="Courier New" w:cs="Courier New" w:hint="default"/>
      </w:rPr>
    </w:lvl>
    <w:lvl w:ilvl="2" w:tplc="47944B44" w:tentative="1">
      <w:start w:val="1"/>
      <w:numFmt w:val="bullet"/>
      <w:lvlText w:val=""/>
      <w:lvlJc w:val="left"/>
      <w:pPr>
        <w:tabs>
          <w:tab w:val="num" w:pos="2160"/>
        </w:tabs>
        <w:ind w:left="2160" w:hanging="360"/>
      </w:pPr>
      <w:rPr>
        <w:rFonts w:ascii="Wingdings" w:hAnsi="Wingdings" w:hint="default"/>
      </w:rPr>
    </w:lvl>
    <w:lvl w:ilvl="3" w:tplc="F4DAEC36" w:tentative="1">
      <w:start w:val="1"/>
      <w:numFmt w:val="bullet"/>
      <w:lvlText w:val=""/>
      <w:lvlJc w:val="left"/>
      <w:pPr>
        <w:tabs>
          <w:tab w:val="num" w:pos="2880"/>
        </w:tabs>
        <w:ind w:left="2880" w:hanging="360"/>
      </w:pPr>
      <w:rPr>
        <w:rFonts w:ascii="Symbol" w:hAnsi="Symbol" w:hint="default"/>
      </w:rPr>
    </w:lvl>
    <w:lvl w:ilvl="4" w:tplc="93F6D7D2" w:tentative="1">
      <w:start w:val="1"/>
      <w:numFmt w:val="bullet"/>
      <w:lvlText w:val="o"/>
      <w:lvlJc w:val="left"/>
      <w:pPr>
        <w:tabs>
          <w:tab w:val="num" w:pos="3600"/>
        </w:tabs>
        <w:ind w:left="3600" w:hanging="360"/>
      </w:pPr>
      <w:rPr>
        <w:rFonts w:ascii="Courier New" w:hAnsi="Courier New" w:cs="Courier New" w:hint="default"/>
      </w:rPr>
    </w:lvl>
    <w:lvl w:ilvl="5" w:tplc="51A22D76" w:tentative="1">
      <w:start w:val="1"/>
      <w:numFmt w:val="bullet"/>
      <w:lvlText w:val=""/>
      <w:lvlJc w:val="left"/>
      <w:pPr>
        <w:tabs>
          <w:tab w:val="num" w:pos="4320"/>
        </w:tabs>
        <w:ind w:left="4320" w:hanging="360"/>
      </w:pPr>
      <w:rPr>
        <w:rFonts w:ascii="Wingdings" w:hAnsi="Wingdings" w:hint="default"/>
      </w:rPr>
    </w:lvl>
    <w:lvl w:ilvl="6" w:tplc="57D032D2" w:tentative="1">
      <w:start w:val="1"/>
      <w:numFmt w:val="bullet"/>
      <w:lvlText w:val=""/>
      <w:lvlJc w:val="left"/>
      <w:pPr>
        <w:tabs>
          <w:tab w:val="num" w:pos="5040"/>
        </w:tabs>
        <w:ind w:left="5040" w:hanging="360"/>
      </w:pPr>
      <w:rPr>
        <w:rFonts w:ascii="Symbol" w:hAnsi="Symbol" w:hint="default"/>
      </w:rPr>
    </w:lvl>
    <w:lvl w:ilvl="7" w:tplc="F926ABA4" w:tentative="1">
      <w:start w:val="1"/>
      <w:numFmt w:val="bullet"/>
      <w:lvlText w:val="o"/>
      <w:lvlJc w:val="left"/>
      <w:pPr>
        <w:tabs>
          <w:tab w:val="num" w:pos="5760"/>
        </w:tabs>
        <w:ind w:left="5760" w:hanging="360"/>
      </w:pPr>
      <w:rPr>
        <w:rFonts w:ascii="Courier New" w:hAnsi="Courier New" w:cs="Courier New" w:hint="default"/>
      </w:rPr>
    </w:lvl>
    <w:lvl w:ilvl="8" w:tplc="3E78E5E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9DA3660"/>
    <w:multiLevelType w:val="multilevel"/>
    <w:tmpl w:val="0809001D"/>
    <w:name w:val="WW8Num37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5DC7547A"/>
    <w:multiLevelType w:val="multilevel"/>
    <w:tmpl w:val="0809001D"/>
    <w:name w:val="Alt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64B260E"/>
    <w:multiLevelType w:val="hybridMultilevel"/>
    <w:tmpl w:val="B5FE534C"/>
    <w:lvl w:ilvl="0" w:tplc="E63C421A">
      <w:start w:val="1"/>
      <w:numFmt w:val="lowerRoman"/>
      <w:lvlText w:val="%1."/>
      <w:lvlJc w:val="right"/>
      <w:pPr>
        <w:ind w:left="1287" w:hanging="360"/>
      </w:pPr>
      <w:rPr>
        <w:b w:val="0"/>
        <w:bCs/>
        <w:i w:val="0"/>
        <w:iCs w:val="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67F16158"/>
    <w:multiLevelType w:val="hybridMultilevel"/>
    <w:tmpl w:val="63ECDCCE"/>
    <w:lvl w:ilvl="0" w:tplc="61EAE9FE">
      <w:start w:val="1"/>
      <w:numFmt w:val="bullet"/>
      <w:pStyle w:val="Bullet3Ashurst"/>
      <w:lvlText w:val=""/>
      <w:lvlJc w:val="left"/>
      <w:pPr>
        <w:tabs>
          <w:tab w:val="num" w:pos="2030"/>
        </w:tabs>
        <w:ind w:left="2030" w:hanging="624"/>
      </w:pPr>
      <w:rPr>
        <w:rFonts w:ascii="Symbol" w:hAnsi="Symbol" w:hint="default"/>
        <w:b w:val="0"/>
        <w:i w:val="0"/>
        <w:sz w:val="18"/>
        <w:szCs w:val="18"/>
      </w:rPr>
    </w:lvl>
    <w:lvl w:ilvl="1" w:tplc="3CB20182" w:tentative="1">
      <w:start w:val="1"/>
      <w:numFmt w:val="bullet"/>
      <w:lvlText w:val="o"/>
      <w:lvlJc w:val="left"/>
      <w:pPr>
        <w:tabs>
          <w:tab w:val="num" w:pos="1440"/>
        </w:tabs>
        <w:ind w:left="1440" w:hanging="360"/>
      </w:pPr>
      <w:rPr>
        <w:rFonts w:ascii="Courier New" w:hAnsi="Courier New" w:cs="Courier New" w:hint="default"/>
      </w:rPr>
    </w:lvl>
    <w:lvl w:ilvl="2" w:tplc="341092E8" w:tentative="1">
      <w:start w:val="1"/>
      <w:numFmt w:val="bullet"/>
      <w:lvlText w:val=""/>
      <w:lvlJc w:val="left"/>
      <w:pPr>
        <w:tabs>
          <w:tab w:val="num" w:pos="2160"/>
        </w:tabs>
        <w:ind w:left="2160" w:hanging="360"/>
      </w:pPr>
      <w:rPr>
        <w:rFonts w:ascii="Wingdings" w:hAnsi="Wingdings" w:hint="default"/>
      </w:rPr>
    </w:lvl>
    <w:lvl w:ilvl="3" w:tplc="3E2A3E14" w:tentative="1">
      <w:start w:val="1"/>
      <w:numFmt w:val="bullet"/>
      <w:lvlText w:val=""/>
      <w:lvlJc w:val="left"/>
      <w:pPr>
        <w:tabs>
          <w:tab w:val="num" w:pos="2880"/>
        </w:tabs>
        <w:ind w:left="2880" w:hanging="360"/>
      </w:pPr>
      <w:rPr>
        <w:rFonts w:ascii="Symbol" w:hAnsi="Symbol" w:hint="default"/>
      </w:rPr>
    </w:lvl>
    <w:lvl w:ilvl="4" w:tplc="105CF266" w:tentative="1">
      <w:start w:val="1"/>
      <w:numFmt w:val="bullet"/>
      <w:lvlText w:val="o"/>
      <w:lvlJc w:val="left"/>
      <w:pPr>
        <w:tabs>
          <w:tab w:val="num" w:pos="3600"/>
        </w:tabs>
        <w:ind w:left="3600" w:hanging="360"/>
      </w:pPr>
      <w:rPr>
        <w:rFonts w:ascii="Courier New" w:hAnsi="Courier New" w:cs="Courier New" w:hint="default"/>
      </w:rPr>
    </w:lvl>
    <w:lvl w:ilvl="5" w:tplc="DA522C90" w:tentative="1">
      <w:start w:val="1"/>
      <w:numFmt w:val="bullet"/>
      <w:lvlText w:val=""/>
      <w:lvlJc w:val="left"/>
      <w:pPr>
        <w:tabs>
          <w:tab w:val="num" w:pos="4320"/>
        </w:tabs>
        <w:ind w:left="4320" w:hanging="360"/>
      </w:pPr>
      <w:rPr>
        <w:rFonts w:ascii="Wingdings" w:hAnsi="Wingdings" w:hint="default"/>
      </w:rPr>
    </w:lvl>
    <w:lvl w:ilvl="6" w:tplc="DE4CB294" w:tentative="1">
      <w:start w:val="1"/>
      <w:numFmt w:val="bullet"/>
      <w:lvlText w:val=""/>
      <w:lvlJc w:val="left"/>
      <w:pPr>
        <w:tabs>
          <w:tab w:val="num" w:pos="5040"/>
        </w:tabs>
        <w:ind w:left="5040" w:hanging="360"/>
      </w:pPr>
      <w:rPr>
        <w:rFonts w:ascii="Symbol" w:hAnsi="Symbol" w:hint="default"/>
      </w:rPr>
    </w:lvl>
    <w:lvl w:ilvl="7" w:tplc="66F2A8A6" w:tentative="1">
      <w:start w:val="1"/>
      <w:numFmt w:val="bullet"/>
      <w:lvlText w:val="o"/>
      <w:lvlJc w:val="left"/>
      <w:pPr>
        <w:tabs>
          <w:tab w:val="num" w:pos="5760"/>
        </w:tabs>
        <w:ind w:left="5760" w:hanging="360"/>
      </w:pPr>
      <w:rPr>
        <w:rFonts w:ascii="Courier New" w:hAnsi="Courier New" w:cs="Courier New" w:hint="default"/>
      </w:rPr>
    </w:lvl>
    <w:lvl w:ilvl="8" w:tplc="7144B830"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816616F"/>
    <w:multiLevelType w:val="multilevel"/>
    <w:tmpl w:val="0809001F"/>
    <w:styleLink w:val="111111"/>
    <w:lvl w:ilvl="0">
      <w:start w:val="1"/>
      <w:numFmt w:val="decimal"/>
      <w:lvlText w:val="%1."/>
      <w:lvlJc w:val="left"/>
      <w:pPr>
        <w:ind w:left="360" w:hanging="360"/>
      </w:pPr>
      <w:rPr>
        <w:rFonts w:asciiTheme="minorHAnsi" w:eastAsiaTheme="minorEastAsia" w:hAnsiTheme="minorHAnsi" w:cstheme="minorBidi"/>
        <w:szCs w:val="2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689A2E2F"/>
    <w:multiLevelType w:val="hybridMultilevel"/>
    <w:tmpl w:val="04C0B6AA"/>
    <w:lvl w:ilvl="0" w:tplc="6E960C1E">
      <w:start w:val="1"/>
      <w:numFmt w:val="lowerLetter"/>
      <w:lvlText w:val="(%1)"/>
      <w:lvlJc w:val="left"/>
      <w:pPr>
        <w:ind w:left="1260" w:hanging="360"/>
      </w:pPr>
      <w:rPr>
        <w:rFonts w:hint="default"/>
      </w:rPr>
    </w:lvl>
    <w:lvl w:ilvl="1" w:tplc="1ECA7DC0" w:tentative="1">
      <w:start w:val="1"/>
      <w:numFmt w:val="lowerLetter"/>
      <w:lvlText w:val="%2."/>
      <w:lvlJc w:val="left"/>
      <w:pPr>
        <w:ind w:left="1980" w:hanging="360"/>
      </w:pPr>
    </w:lvl>
    <w:lvl w:ilvl="2" w:tplc="B8DEAE8E" w:tentative="1">
      <w:start w:val="1"/>
      <w:numFmt w:val="lowerRoman"/>
      <w:lvlText w:val="%3."/>
      <w:lvlJc w:val="right"/>
      <w:pPr>
        <w:ind w:left="2700" w:hanging="180"/>
      </w:pPr>
    </w:lvl>
    <w:lvl w:ilvl="3" w:tplc="22767E40" w:tentative="1">
      <w:start w:val="1"/>
      <w:numFmt w:val="decimal"/>
      <w:lvlText w:val="%4."/>
      <w:lvlJc w:val="left"/>
      <w:pPr>
        <w:ind w:left="3420" w:hanging="360"/>
      </w:pPr>
    </w:lvl>
    <w:lvl w:ilvl="4" w:tplc="F73429A8" w:tentative="1">
      <w:start w:val="1"/>
      <w:numFmt w:val="lowerLetter"/>
      <w:lvlText w:val="%5."/>
      <w:lvlJc w:val="left"/>
      <w:pPr>
        <w:ind w:left="4140" w:hanging="360"/>
      </w:pPr>
    </w:lvl>
    <w:lvl w:ilvl="5" w:tplc="90FCC0C2" w:tentative="1">
      <w:start w:val="1"/>
      <w:numFmt w:val="lowerRoman"/>
      <w:lvlText w:val="%6."/>
      <w:lvlJc w:val="right"/>
      <w:pPr>
        <w:ind w:left="4860" w:hanging="180"/>
      </w:pPr>
    </w:lvl>
    <w:lvl w:ilvl="6" w:tplc="7DBAAB00" w:tentative="1">
      <w:start w:val="1"/>
      <w:numFmt w:val="decimal"/>
      <w:lvlText w:val="%7."/>
      <w:lvlJc w:val="left"/>
      <w:pPr>
        <w:ind w:left="5580" w:hanging="360"/>
      </w:pPr>
    </w:lvl>
    <w:lvl w:ilvl="7" w:tplc="CD38859E" w:tentative="1">
      <w:start w:val="1"/>
      <w:numFmt w:val="lowerLetter"/>
      <w:lvlText w:val="%8."/>
      <w:lvlJc w:val="left"/>
      <w:pPr>
        <w:ind w:left="6300" w:hanging="360"/>
      </w:pPr>
    </w:lvl>
    <w:lvl w:ilvl="8" w:tplc="76F88E84" w:tentative="1">
      <w:start w:val="1"/>
      <w:numFmt w:val="lowerRoman"/>
      <w:lvlText w:val="%9."/>
      <w:lvlJc w:val="right"/>
      <w:pPr>
        <w:ind w:left="7020" w:hanging="180"/>
      </w:pPr>
    </w:lvl>
  </w:abstractNum>
  <w:abstractNum w:abstractNumId="51" w15:restartNumberingAfterBreak="0">
    <w:nsid w:val="69246705"/>
    <w:multiLevelType w:val="multilevel"/>
    <w:tmpl w:val="0A907C1E"/>
    <w:lvl w:ilvl="0">
      <w:start w:val="1"/>
      <w:numFmt w:val="decimal"/>
      <w:pStyle w:val="TableNum1Ashurst"/>
      <w:suff w:val="nothing"/>
      <w:lvlText w:val="%1."/>
      <w:lvlJc w:val="left"/>
      <w:pPr>
        <w:ind w:left="0" w:firstLine="0"/>
      </w:pPr>
      <w:rPr>
        <w:rFonts w:hint="default"/>
        <w:b w:val="0"/>
        <w:i w:val="0"/>
        <w:sz w:val="18"/>
      </w:rPr>
    </w:lvl>
    <w:lvl w:ilvl="1">
      <w:start w:val="1"/>
      <w:numFmt w:val="decimal"/>
      <w:pStyle w:val="TableNum2Ashurst"/>
      <w:suff w:val="nothing"/>
      <w:lvlText w:val="%1.%2"/>
      <w:lvlJc w:val="left"/>
      <w:pPr>
        <w:ind w:left="0" w:firstLine="0"/>
      </w:pPr>
      <w:rPr>
        <w:rFonts w:hint="default"/>
        <w:b w:val="0"/>
        <w:i w:val="0"/>
        <w:sz w:val="18"/>
        <w:szCs w:val="18"/>
      </w:rPr>
    </w:lvl>
    <w:lvl w:ilvl="2">
      <w:start w:val="1"/>
      <w:numFmt w:val="lowerLetter"/>
      <w:pStyle w:val="TableNum3Ashurst"/>
      <w:suff w:val="nothing"/>
      <w:lvlText w:val="(%3)"/>
      <w:lvlJc w:val="left"/>
      <w:pPr>
        <w:ind w:left="0" w:firstLine="0"/>
      </w:pPr>
      <w:rPr>
        <w:rFonts w:hint="default"/>
        <w:b w:val="0"/>
        <w:i w:val="0"/>
        <w:sz w:val="18"/>
        <w:szCs w:val="18"/>
      </w:rPr>
    </w:lvl>
    <w:lvl w:ilvl="3">
      <w:start w:val="1"/>
      <w:numFmt w:val="lowerRoman"/>
      <w:pStyle w:val="TableNum4Ashurst"/>
      <w:suff w:val="nothing"/>
      <w:lvlText w:val="(%4)"/>
      <w:lvlJc w:val="left"/>
      <w:pPr>
        <w:ind w:left="0" w:firstLine="0"/>
      </w:pPr>
      <w:rPr>
        <w:rFonts w:hint="default"/>
        <w:b w:val="0"/>
        <w:i w:val="0"/>
        <w:sz w:val="18"/>
        <w:szCs w:val="18"/>
      </w:rPr>
    </w:lvl>
    <w:lvl w:ilvl="4">
      <w:start w:val="1"/>
      <w:numFmt w:val="upperLetter"/>
      <w:pStyle w:val="TableNum5Ashurst"/>
      <w:suff w:val="nothing"/>
      <w:lvlText w:val="(%5)"/>
      <w:lvlJc w:val="left"/>
      <w:pPr>
        <w:ind w:left="0" w:firstLine="0"/>
      </w:pPr>
      <w:rPr>
        <w:rFonts w:hint="default"/>
        <w:b w:val="0"/>
        <w:i w:val="0"/>
        <w:sz w:val="18"/>
        <w:szCs w:val="18"/>
      </w:rPr>
    </w:lvl>
    <w:lvl w:ilvl="5">
      <w:start w:val="27"/>
      <w:numFmt w:val="lowerLetter"/>
      <w:pStyle w:val="TableNum6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52" w15:restartNumberingAfterBreak="0">
    <w:nsid w:val="69F474E1"/>
    <w:multiLevelType w:val="multilevel"/>
    <w:tmpl w:val="0809001D"/>
    <w:name w:val="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6D13513A"/>
    <w:multiLevelType w:val="hybridMultilevel"/>
    <w:tmpl w:val="F8AEB498"/>
    <w:lvl w:ilvl="0" w:tplc="3FFCFF74">
      <w:start w:val="1"/>
      <w:numFmt w:val="bullet"/>
      <w:pStyle w:val="Bullet4Ashurst"/>
      <w:lvlText w:val=""/>
      <w:lvlJc w:val="left"/>
      <w:pPr>
        <w:tabs>
          <w:tab w:val="num" w:pos="2654"/>
        </w:tabs>
        <w:ind w:left="2654" w:hanging="624"/>
      </w:pPr>
      <w:rPr>
        <w:rFonts w:ascii="Symbol" w:hAnsi="Symbol" w:hint="default"/>
        <w:b w:val="0"/>
        <w:i w:val="0"/>
        <w:sz w:val="18"/>
        <w:szCs w:val="18"/>
      </w:rPr>
    </w:lvl>
    <w:lvl w:ilvl="1" w:tplc="89E21566" w:tentative="1">
      <w:start w:val="1"/>
      <w:numFmt w:val="bullet"/>
      <w:lvlText w:val="o"/>
      <w:lvlJc w:val="left"/>
      <w:pPr>
        <w:tabs>
          <w:tab w:val="num" w:pos="1440"/>
        </w:tabs>
        <w:ind w:left="1440" w:hanging="360"/>
      </w:pPr>
      <w:rPr>
        <w:rFonts w:ascii="Courier New" w:hAnsi="Courier New" w:cs="Courier New" w:hint="default"/>
      </w:rPr>
    </w:lvl>
    <w:lvl w:ilvl="2" w:tplc="347A7E2C" w:tentative="1">
      <w:start w:val="1"/>
      <w:numFmt w:val="bullet"/>
      <w:lvlText w:val=""/>
      <w:lvlJc w:val="left"/>
      <w:pPr>
        <w:tabs>
          <w:tab w:val="num" w:pos="2160"/>
        </w:tabs>
        <w:ind w:left="2160" w:hanging="360"/>
      </w:pPr>
      <w:rPr>
        <w:rFonts w:ascii="Wingdings" w:hAnsi="Wingdings" w:hint="default"/>
      </w:rPr>
    </w:lvl>
    <w:lvl w:ilvl="3" w:tplc="F7CAA0B2" w:tentative="1">
      <w:start w:val="1"/>
      <w:numFmt w:val="bullet"/>
      <w:lvlText w:val=""/>
      <w:lvlJc w:val="left"/>
      <w:pPr>
        <w:tabs>
          <w:tab w:val="num" w:pos="2880"/>
        </w:tabs>
        <w:ind w:left="2880" w:hanging="360"/>
      </w:pPr>
      <w:rPr>
        <w:rFonts w:ascii="Symbol" w:hAnsi="Symbol" w:hint="default"/>
      </w:rPr>
    </w:lvl>
    <w:lvl w:ilvl="4" w:tplc="71B80C7A" w:tentative="1">
      <w:start w:val="1"/>
      <w:numFmt w:val="bullet"/>
      <w:lvlText w:val="o"/>
      <w:lvlJc w:val="left"/>
      <w:pPr>
        <w:tabs>
          <w:tab w:val="num" w:pos="3600"/>
        </w:tabs>
        <w:ind w:left="3600" w:hanging="360"/>
      </w:pPr>
      <w:rPr>
        <w:rFonts w:ascii="Courier New" w:hAnsi="Courier New" w:cs="Courier New" w:hint="default"/>
      </w:rPr>
    </w:lvl>
    <w:lvl w:ilvl="5" w:tplc="17D80EEE" w:tentative="1">
      <w:start w:val="1"/>
      <w:numFmt w:val="bullet"/>
      <w:lvlText w:val=""/>
      <w:lvlJc w:val="left"/>
      <w:pPr>
        <w:tabs>
          <w:tab w:val="num" w:pos="4320"/>
        </w:tabs>
        <w:ind w:left="4320" w:hanging="360"/>
      </w:pPr>
      <w:rPr>
        <w:rFonts w:ascii="Wingdings" w:hAnsi="Wingdings" w:hint="default"/>
      </w:rPr>
    </w:lvl>
    <w:lvl w:ilvl="6" w:tplc="3A3EAB2E" w:tentative="1">
      <w:start w:val="1"/>
      <w:numFmt w:val="bullet"/>
      <w:lvlText w:val=""/>
      <w:lvlJc w:val="left"/>
      <w:pPr>
        <w:tabs>
          <w:tab w:val="num" w:pos="5040"/>
        </w:tabs>
        <w:ind w:left="5040" w:hanging="360"/>
      </w:pPr>
      <w:rPr>
        <w:rFonts w:ascii="Symbol" w:hAnsi="Symbol" w:hint="default"/>
      </w:rPr>
    </w:lvl>
    <w:lvl w:ilvl="7" w:tplc="9AB45B68" w:tentative="1">
      <w:start w:val="1"/>
      <w:numFmt w:val="bullet"/>
      <w:lvlText w:val="o"/>
      <w:lvlJc w:val="left"/>
      <w:pPr>
        <w:tabs>
          <w:tab w:val="num" w:pos="5760"/>
        </w:tabs>
        <w:ind w:left="5760" w:hanging="360"/>
      </w:pPr>
      <w:rPr>
        <w:rFonts w:ascii="Courier New" w:hAnsi="Courier New" w:cs="Courier New" w:hint="default"/>
      </w:rPr>
    </w:lvl>
    <w:lvl w:ilvl="8" w:tplc="15A81FF0"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FA97731"/>
    <w:multiLevelType w:val="multilevel"/>
    <w:tmpl w:val="0809001D"/>
    <w:name w:val="Alt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6FCE09A2"/>
    <w:multiLevelType w:val="multilevel"/>
    <w:tmpl w:val="0809001D"/>
    <w:name w:val="Alt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 w15:restartNumberingAfterBreak="0">
    <w:nsid w:val="768237B4"/>
    <w:multiLevelType w:val="multilevel"/>
    <w:tmpl w:val="0809001D"/>
    <w:name w:val="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76FF6F28"/>
    <w:multiLevelType w:val="singleLevel"/>
    <w:tmpl w:val="14E04F3A"/>
    <w:lvl w:ilvl="0">
      <w:start w:val="1"/>
      <w:numFmt w:val="bullet"/>
      <w:pStyle w:val="BulletOCAshurst"/>
      <w:lvlText w:val=""/>
      <w:lvlJc w:val="left"/>
      <w:pPr>
        <w:tabs>
          <w:tab w:val="num" w:pos="1561"/>
        </w:tabs>
        <w:ind w:left="1561" w:hanging="709"/>
      </w:pPr>
      <w:rPr>
        <w:rFonts w:ascii="Symbol" w:hAnsi="Symbol" w:hint="default"/>
        <w:b w:val="0"/>
        <w:i w:val="0"/>
        <w:color w:val="auto"/>
        <w:sz w:val="20"/>
      </w:rPr>
    </w:lvl>
  </w:abstractNum>
  <w:abstractNum w:abstractNumId="58" w15:restartNumberingAfterBreak="0">
    <w:nsid w:val="7B792B61"/>
    <w:multiLevelType w:val="hybridMultilevel"/>
    <w:tmpl w:val="AA02C10E"/>
    <w:lvl w:ilvl="0" w:tplc="31004296">
      <w:start w:val="1"/>
      <w:numFmt w:val="decimal"/>
      <w:pStyle w:val="PartiesAshurst"/>
      <w:lvlText w:val="(%1)"/>
      <w:lvlJc w:val="left"/>
      <w:pPr>
        <w:tabs>
          <w:tab w:val="num" w:pos="782"/>
        </w:tabs>
        <w:ind w:left="782" w:hanging="782"/>
      </w:pPr>
      <w:rPr>
        <w:rFonts w:hint="default"/>
        <w:b w:val="0"/>
        <w:i w:val="0"/>
        <w:sz w:val="18"/>
        <w:szCs w:val="18"/>
      </w:rPr>
    </w:lvl>
    <w:lvl w:ilvl="1" w:tplc="E67CA23A" w:tentative="1">
      <w:start w:val="1"/>
      <w:numFmt w:val="lowerLetter"/>
      <w:lvlText w:val="%2."/>
      <w:lvlJc w:val="left"/>
      <w:pPr>
        <w:tabs>
          <w:tab w:val="num" w:pos="1440"/>
        </w:tabs>
        <w:ind w:left="1440" w:hanging="360"/>
      </w:pPr>
    </w:lvl>
    <w:lvl w:ilvl="2" w:tplc="F9D869AC" w:tentative="1">
      <w:start w:val="1"/>
      <w:numFmt w:val="lowerRoman"/>
      <w:lvlText w:val="%3."/>
      <w:lvlJc w:val="right"/>
      <w:pPr>
        <w:tabs>
          <w:tab w:val="num" w:pos="2160"/>
        </w:tabs>
        <w:ind w:left="2160" w:hanging="180"/>
      </w:pPr>
    </w:lvl>
    <w:lvl w:ilvl="3" w:tplc="74821ABA" w:tentative="1">
      <w:start w:val="1"/>
      <w:numFmt w:val="decimal"/>
      <w:lvlText w:val="%4."/>
      <w:lvlJc w:val="left"/>
      <w:pPr>
        <w:tabs>
          <w:tab w:val="num" w:pos="2880"/>
        </w:tabs>
        <w:ind w:left="2880" w:hanging="360"/>
      </w:pPr>
    </w:lvl>
    <w:lvl w:ilvl="4" w:tplc="C7E8A74C" w:tentative="1">
      <w:start w:val="1"/>
      <w:numFmt w:val="lowerLetter"/>
      <w:lvlText w:val="%5."/>
      <w:lvlJc w:val="left"/>
      <w:pPr>
        <w:tabs>
          <w:tab w:val="num" w:pos="3600"/>
        </w:tabs>
        <w:ind w:left="3600" w:hanging="360"/>
      </w:pPr>
    </w:lvl>
    <w:lvl w:ilvl="5" w:tplc="B9D4794C" w:tentative="1">
      <w:start w:val="1"/>
      <w:numFmt w:val="lowerRoman"/>
      <w:lvlText w:val="%6."/>
      <w:lvlJc w:val="right"/>
      <w:pPr>
        <w:tabs>
          <w:tab w:val="num" w:pos="4320"/>
        </w:tabs>
        <w:ind w:left="4320" w:hanging="180"/>
      </w:pPr>
    </w:lvl>
    <w:lvl w:ilvl="6" w:tplc="BA80382A" w:tentative="1">
      <w:start w:val="1"/>
      <w:numFmt w:val="decimal"/>
      <w:lvlText w:val="%7."/>
      <w:lvlJc w:val="left"/>
      <w:pPr>
        <w:tabs>
          <w:tab w:val="num" w:pos="5040"/>
        </w:tabs>
        <w:ind w:left="5040" w:hanging="360"/>
      </w:pPr>
    </w:lvl>
    <w:lvl w:ilvl="7" w:tplc="0DDAADCE" w:tentative="1">
      <w:start w:val="1"/>
      <w:numFmt w:val="lowerLetter"/>
      <w:lvlText w:val="%8."/>
      <w:lvlJc w:val="left"/>
      <w:pPr>
        <w:tabs>
          <w:tab w:val="num" w:pos="5760"/>
        </w:tabs>
        <w:ind w:left="5760" w:hanging="360"/>
      </w:pPr>
    </w:lvl>
    <w:lvl w:ilvl="8" w:tplc="248447BC" w:tentative="1">
      <w:start w:val="1"/>
      <w:numFmt w:val="lowerRoman"/>
      <w:lvlText w:val="%9."/>
      <w:lvlJc w:val="right"/>
      <w:pPr>
        <w:tabs>
          <w:tab w:val="num" w:pos="6480"/>
        </w:tabs>
        <w:ind w:left="6480" w:hanging="180"/>
      </w:pPr>
    </w:lvl>
  </w:abstractNum>
  <w:abstractNum w:abstractNumId="59" w15:restartNumberingAfterBreak="0">
    <w:nsid w:val="7BCD3DD8"/>
    <w:multiLevelType w:val="multilevel"/>
    <w:tmpl w:val="E98052C4"/>
    <w:lvl w:ilvl="0">
      <w:start w:val="1"/>
      <w:numFmt w:val="decimal"/>
      <w:pStyle w:val="AltH1Ashurst"/>
      <w:lvlText w:val="%1."/>
      <w:lvlJc w:val="left"/>
      <w:pPr>
        <w:tabs>
          <w:tab w:val="num" w:pos="782"/>
        </w:tabs>
        <w:ind w:left="782" w:hanging="782"/>
      </w:pPr>
      <w:rPr>
        <w:rFonts w:hint="default"/>
        <w:b w:val="0"/>
        <w:i w:val="0"/>
        <w:sz w:val="18"/>
      </w:rPr>
    </w:lvl>
    <w:lvl w:ilvl="1">
      <w:start w:val="1"/>
      <w:numFmt w:val="decimal"/>
      <w:pStyle w:val="AltH2Ashurst"/>
      <w:lvlText w:val="%1.%2"/>
      <w:lvlJc w:val="left"/>
      <w:pPr>
        <w:tabs>
          <w:tab w:val="num" w:pos="782"/>
        </w:tabs>
        <w:ind w:left="782" w:hanging="782"/>
      </w:pPr>
      <w:rPr>
        <w:rFonts w:hint="default"/>
        <w:b w:val="0"/>
        <w:i w:val="0"/>
        <w:sz w:val="18"/>
        <w:szCs w:val="18"/>
      </w:rPr>
    </w:lvl>
    <w:lvl w:ilvl="2">
      <w:start w:val="1"/>
      <w:numFmt w:val="lowerLetter"/>
      <w:pStyle w:val="AltH3Ashurst"/>
      <w:lvlText w:val="(%3)"/>
      <w:lvlJc w:val="left"/>
      <w:pPr>
        <w:tabs>
          <w:tab w:val="num" w:pos="1406"/>
        </w:tabs>
        <w:ind w:left="1406" w:hanging="624"/>
      </w:pPr>
      <w:rPr>
        <w:rFonts w:hint="default"/>
        <w:b w:val="0"/>
        <w:i w:val="0"/>
        <w:sz w:val="18"/>
        <w:szCs w:val="18"/>
      </w:rPr>
    </w:lvl>
    <w:lvl w:ilvl="3">
      <w:start w:val="1"/>
      <w:numFmt w:val="lowerRoman"/>
      <w:pStyle w:val="AltH4Ashurst"/>
      <w:lvlText w:val="(%4)"/>
      <w:lvlJc w:val="left"/>
      <w:pPr>
        <w:tabs>
          <w:tab w:val="num" w:pos="2030"/>
        </w:tabs>
        <w:ind w:left="2030" w:hanging="624"/>
      </w:pPr>
      <w:rPr>
        <w:rFonts w:hint="default"/>
        <w:b w:val="0"/>
        <w:i w:val="0"/>
        <w:sz w:val="18"/>
        <w:szCs w:val="18"/>
      </w:rPr>
    </w:lvl>
    <w:lvl w:ilvl="4">
      <w:start w:val="1"/>
      <w:numFmt w:val="upperLetter"/>
      <w:pStyle w:val="AltH5Ashurst"/>
      <w:lvlText w:val="(%5)"/>
      <w:lvlJc w:val="left"/>
      <w:pPr>
        <w:tabs>
          <w:tab w:val="num" w:pos="2653"/>
        </w:tabs>
        <w:ind w:left="2653" w:hanging="623"/>
      </w:pPr>
      <w:rPr>
        <w:rFonts w:hint="default"/>
        <w:b w:val="0"/>
        <w:i w:val="0"/>
        <w:sz w:val="18"/>
        <w:szCs w:val="18"/>
      </w:rPr>
    </w:lvl>
    <w:lvl w:ilvl="5">
      <w:start w:val="27"/>
      <w:numFmt w:val="lowerLetter"/>
      <w:pStyle w:val="AltH6Ashurst"/>
      <w:lvlText w:val="(%6)"/>
      <w:lvlJc w:val="left"/>
      <w:pPr>
        <w:tabs>
          <w:tab w:val="num" w:pos="3277"/>
        </w:tabs>
        <w:ind w:left="3277" w:hanging="624"/>
      </w:pPr>
      <w:rPr>
        <w:rFonts w:hint="default"/>
        <w:b w:val="0"/>
        <w:i w:val="0"/>
        <w:sz w:val="18"/>
        <w:szCs w:val="18"/>
      </w:rPr>
    </w:lvl>
    <w:lvl w:ilvl="6">
      <w:start w:val="1"/>
      <w:numFmt w:val="lowerLetter"/>
      <w:pStyle w:val="AltH7Ashurst"/>
      <w:lvlText w:val="(%7)"/>
      <w:lvlJc w:val="left"/>
      <w:pPr>
        <w:tabs>
          <w:tab w:val="num" w:pos="3901"/>
        </w:tabs>
        <w:ind w:left="3901" w:hanging="624"/>
      </w:pPr>
      <w:rPr>
        <w:rFonts w:hint="default"/>
        <w:b w:val="0"/>
        <w:i w:val="0"/>
        <w:sz w:val="18"/>
        <w:szCs w:val="18"/>
      </w:rPr>
    </w:lvl>
    <w:lvl w:ilvl="7">
      <w:start w:val="1"/>
      <w:numFmt w:val="lowerRoman"/>
      <w:pStyle w:val="Alt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60" w15:restartNumberingAfterBreak="0">
    <w:nsid w:val="7CCA31EC"/>
    <w:multiLevelType w:val="hybridMultilevel"/>
    <w:tmpl w:val="4C3E3524"/>
    <w:lvl w:ilvl="0" w:tplc="889EA5C4">
      <w:start w:val="1"/>
      <w:numFmt w:val="bullet"/>
      <w:pStyle w:val="Bullet5Ashurst"/>
      <w:lvlText w:val=""/>
      <w:lvlJc w:val="left"/>
      <w:pPr>
        <w:tabs>
          <w:tab w:val="num" w:pos="3277"/>
        </w:tabs>
        <w:ind w:left="3277" w:hanging="623"/>
      </w:pPr>
      <w:rPr>
        <w:rFonts w:ascii="Symbol" w:hAnsi="Symbol" w:hint="default"/>
        <w:b w:val="0"/>
        <w:i w:val="0"/>
        <w:sz w:val="18"/>
        <w:szCs w:val="18"/>
      </w:rPr>
    </w:lvl>
    <w:lvl w:ilvl="1" w:tplc="BA6C63EC" w:tentative="1">
      <w:start w:val="1"/>
      <w:numFmt w:val="bullet"/>
      <w:lvlText w:val="o"/>
      <w:lvlJc w:val="left"/>
      <w:pPr>
        <w:tabs>
          <w:tab w:val="num" w:pos="1440"/>
        </w:tabs>
        <w:ind w:left="1440" w:hanging="360"/>
      </w:pPr>
      <w:rPr>
        <w:rFonts w:ascii="Courier New" w:hAnsi="Courier New" w:cs="Courier New" w:hint="default"/>
      </w:rPr>
    </w:lvl>
    <w:lvl w:ilvl="2" w:tplc="EEF852F6" w:tentative="1">
      <w:start w:val="1"/>
      <w:numFmt w:val="bullet"/>
      <w:lvlText w:val=""/>
      <w:lvlJc w:val="left"/>
      <w:pPr>
        <w:tabs>
          <w:tab w:val="num" w:pos="2160"/>
        </w:tabs>
        <w:ind w:left="2160" w:hanging="360"/>
      </w:pPr>
      <w:rPr>
        <w:rFonts w:ascii="Wingdings" w:hAnsi="Wingdings" w:hint="default"/>
      </w:rPr>
    </w:lvl>
    <w:lvl w:ilvl="3" w:tplc="1506FDFC" w:tentative="1">
      <w:start w:val="1"/>
      <w:numFmt w:val="bullet"/>
      <w:lvlText w:val=""/>
      <w:lvlJc w:val="left"/>
      <w:pPr>
        <w:tabs>
          <w:tab w:val="num" w:pos="2880"/>
        </w:tabs>
        <w:ind w:left="2880" w:hanging="360"/>
      </w:pPr>
      <w:rPr>
        <w:rFonts w:ascii="Symbol" w:hAnsi="Symbol" w:hint="default"/>
      </w:rPr>
    </w:lvl>
    <w:lvl w:ilvl="4" w:tplc="3762380A" w:tentative="1">
      <w:start w:val="1"/>
      <w:numFmt w:val="bullet"/>
      <w:lvlText w:val="o"/>
      <w:lvlJc w:val="left"/>
      <w:pPr>
        <w:tabs>
          <w:tab w:val="num" w:pos="3600"/>
        </w:tabs>
        <w:ind w:left="3600" w:hanging="360"/>
      </w:pPr>
      <w:rPr>
        <w:rFonts w:ascii="Courier New" w:hAnsi="Courier New" w:cs="Courier New" w:hint="default"/>
      </w:rPr>
    </w:lvl>
    <w:lvl w:ilvl="5" w:tplc="47842226" w:tentative="1">
      <w:start w:val="1"/>
      <w:numFmt w:val="bullet"/>
      <w:lvlText w:val=""/>
      <w:lvlJc w:val="left"/>
      <w:pPr>
        <w:tabs>
          <w:tab w:val="num" w:pos="4320"/>
        </w:tabs>
        <w:ind w:left="4320" w:hanging="360"/>
      </w:pPr>
      <w:rPr>
        <w:rFonts w:ascii="Wingdings" w:hAnsi="Wingdings" w:hint="default"/>
      </w:rPr>
    </w:lvl>
    <w:lvl w:ilvl="6" w:tplc="69F8CEEA" w:tentative="1">
      <w:start w:val="1"/>
      <w:numFmt w:val="bullet"/>
      <w:lvlText w:val=""/>
      <w:lvlJc w:val="left"/>
      <w:pPr>
        <w:tabs>
          <w:tab w:val="num" w:pos="5040"/>
        </w:tabs>
        <w:ind w:left="5040" w:hanging="360"/>
      </w:pPr>
      <w:rPr>
        <w:rFonts w:ascii="Symbol" w:hAnsi="Symbol" w:hint="default"/>
      </w:rPr>
    </w:lvl>
    <w:lvl w:ilvl="7" w:tplc="7748A240" w:tentative="1">
      <w:start w:val="1"/>
      <w:numFmt w:val="bullet"/>
      <w:lvlText w:val="o"/>
      <w:lvlJc w:val="left"/>
      <w:pPr>
        <w:tabs>
          <w:tab w:val="num" w:pos="5760"/>
        </w:tabs>
        <w:ind w:left="5760" w:hanging="360"/>
      </w:pPr>
      <w:rPr>
        <w:rFonts w:ascii="Courier New" w:hAnsi="Courier New" w:cs="Courier New" w:hint="default"/>
      </w:rPr>
    </w:lvl>
    <w:lvl w:ilvl="8" w:tplc="DF94DDE6" w:tentative="1">
      <w:start w:val="1"/>
      <w:numFmt w:val="bullet"/>
      <w:lvlText w:val=""/>
      <w:lvlJc w:val="left"/>
      <w:pPr>
        <w:tabs>
          <w:tab w:val="num" w:pos="6480"/>
        </w:tabs>
        <w:ind w:left="6480" w:hanging="360"/>
      </w:pPr>
      <w:rPr>
        <w:rFonts w:ascii="Wingdings" w:hAnsi="Wingdings" w:hint="default"/>
      </w:rPr>
    </w:lvl>
  </w:abstractNum>
  <w:num w:numId="1" w16cid:durableId="1691485808">
    <w:abstractNumId w:val="20"/>
  </w:num>
  <w:num w:numId="2" w16cid:durableId="149441941">
    <w:abstractNumId w:val="9"/>
  </w:num>
  <w:num w:numId="3" w16cid:durableId="366638315">
    <w:abstractNumId w:val="8"/>
  </w:num>
  <w:num w:numId="4" w16cid:durableId="32002260">
    <w:abstractNumId w:val="7"/>
  </w:num>
  <w:num w:numId="5" w16cid:durableId="1839150926">
    <w:abstractNumId w:val="6"/>
  </w:num>
  <w:num w:numId="6" w16cid:durableId="109052481">
    <w:abstractNumId w:val="5"/>
  </w:num>
  <w:num w:numId="7" w16cid:durableId="847982289">
    <w:abstractNumId w:val="4"/>
  </w:num>
  <w:num w:numId="8" w16cid:durableId="507133213">
    <w:abstractNumId w:val="3"/>
  </w:num>
  <w:num w:numId="9" w16cid:durableId="560019419">
    <w:abstractNumId w:val="2"/>
  </w:num>
  <w:num w:numId="10" w16cid:durableId="2118328993">
    <w:abstractNumId w:val="1"/>
  </w:num>
  <w:num w:numId="11" w16cid:durableId="1075127919">
    <w:abstractNumId w:val="0"/>
  </w:num>
  <w:num w:numId="12" w16cid:durableId="1219633349">
    <w:abstractNumId w:val="25"/>
  </w:num>
  <w:num w:numId="13" w16cid:durableId="126899731">
    <w:abstractNumId w:val="49"/>
  </w:num>
  <w:num w:numId="14" w16cid:durableId="1747413118">
    <w:abstractNumId w:val="15"/>
  </w:num>
  <w:num w:numId="15" w16cid:durableId="1256985789">
    <w:abstractNumId w:val="13"/>
  </w:num>
  <w:num w:numId="16" w16cid:durableId="795831953">
    <w:abstractNumId w:val="26"/>
  </w:num>
  <w:num w:numId="17" w16cid:durableId="2134977556">
    <w:abstractNumId w:val="35"/>
  </w:num>
  <w:num w:numId="18" w16cid:durableId="1349336006">
    <w:abstractNumId w:val="58"/>
  </w:num>
  <w:num w:numId="19" w16cid:durableId="786317279">
    <w:abstractNumId w:val="36"/>
  </w:num>
  <w:num w:numId="20" w16cid:durableId="1910840975">
    <w:abstractNumId w:val="16"/>
  </w:num>
  <w:num w:numId="21" w16cid:durableId="350843328">
    <w:abstractNumId w:val="12"/>
  </w:num>
  <w:num w:numId="22" w16cid:durableId="1495485233">
    <w:abstractNumId w:val="48"/>
  </w:num>
  <w:num w:numId="23" w16cid:durableId="359817122">
    <w:abstractNumId w:val="53"/>
  </w:num>
  <w:num w:numId="24" w16cid:durableId="572399986">
    <w:abstractNumId w:val="60"/>
  </w:num>
  <w:num w:numId="25" w16cid:durableId="1853370245">
    <w:abstractNumId w:val="41"/>
  </w:num>
  <w:num w:numId="26" w16cid:durableId="400446191">
    <w:abstractNumId w:val="11"/>
  </w:num>
  <w:num w:numId="27" w16cid:durableId="136384164">
    <w:abstractNumId w:val="44"/>
  </w:num>
  <w:num w:numId="28" w16cid:durableId="1062286480">
    <w:abstractNumId w:val="30"/>
  </w:num>
  <w:num w:numId="29" w16cid:durableId="1527333019">
    <w:abstractNumId w:val="51"/>
  </w:num>
  <w:num w:numId="30" w16cid:durableId="1934168413">
    <w:abstractNumId w:val="38"/>
  </w:num>
  <w:num w:numId="31" w16cid:durableId="1292253042">
    <w:abstractNumId w:val="59"/>
  </w:num>
  <w:num w:numId="32" w16cid:durableId="1833595360">
    <w:abstractNumId w:val="39"/>
  </w:num>
  <w:num w:numId="33" w16cid:durableId="277759277">
    <w:abstractNumId w:val="18"/>
  </w:num>
  <w:num w:numId="34" w16cid:durableId="826558374">
    <w:abstractNumId w:val="29"/>
  </w:num>
  <w:num w:numId="35" w16cid:durableId="1363090022">
    <w:abstractNumId w:val="17"/>
  </w:num>
  <w:num w:numId="36" w16cid:durableId="536043877">
    <w:abstractNumId w:val="50"/>
  </w:num>
  <w:num w:numId="37" w16cid:durableId="1574974770">
    <w:abstractNumId w:val="14"/>
  </w:num>
  <w:num w:numId="38" w16cid:durableId="1514876234">
    <w:abstractNumId w:val="19"/>
  </w:num>
  <w:num w:numId="39" w16cid:durableId="530536157">
    <w:abstractNumId w:val="32"/>
  </w:num>
  <w:num w:numId="40" w16cid:durableId="11824307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41" w16cid:durableId="1300842376">
    <w:abstractNumId w:val="22"/>
  </w:num>
  <w:num w:numId="42" w16cid:durableId="1768035348">
    <w:abstractNumId w:val="37"/>
  </w:num>
  <w:num w:numId="43" w16cid:durableId="485173015">
    <w:abstractNumId w:val="57"/>
  </w:num>
  <w:num w:numId="44" w16cid:durableId="253055050">
    <w:abstractNumId w:val="47"/>
  </w:num>
  <w:num w:numId="45" w16cid:durableId="591742612">
    <w:abstractNumId w:val="40"/>
  </w:num>
  <w:num w:numId="46" w16cid:durableId="1403139738">
    <w:abstractNumId w:val="10"/>
  </w:num>
  <w:num w:numId="47" w16cid:durableId="18210733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19592738">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4804" w:allStyles="0" w:customStyles="0" w:latentStyles="1" w:stylesInUse="0" w:headingStyles="0" w:numberingStyles="0" w:tableStyles="0" w:directFormattingOnRuns="0" w:directFormattingOnParagraphs="0" w:directFormattingOnNumbering="0" w:directFormattingOnTables="1" w:clearFormatting="0" w:top3HeadingStyles="0" w:visibleStyles="1" w:alternateStyleNames="0"/>
  <w:revisionView w:formatting="0"/>
  <w:doNotTrackFormatting/>
  <w:defaultTabStop w:val="567"/>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Doc&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7&quot; /&gt;_x000d__x000a_        &lt;item name=&quot;month&quot; value=&quot;5&quot; /&gt;_x000d__x000a_        &lt;item name=&quot;year&quot; value=&quot;2021&quot; /&gt;_x000d__x000a_        &lt;item name=&quot;legacyTemplateName&quot; value=&quot;&quot; /&gt;_x000d__x000a_        &lt;item name=&quot;iwStartFolder&quot; value=&quot;&quot; /&gt;_x000d__x000a_      &lt;/items&gt;_x000d__x000a_    &lt;/set&gt;_x000d__x000a_  &lt;/documentData&gt;_x000d__x000a_&lt;/ashurstDocument&gt;"/>
  </w:docVars>
  <w:rsids>
    <w:rsidRoot w:val="004D4D38"/>
    <w:rsid w:val="00000D00"/>
    <w:rsid w:val="00001C72"/>
    <w:rsid w:val="00005323"/>
    <w:rsid w:val="00006938"/>
    <w:rsid w:val="00015717"/>
    <w:rsid w:val="00023CE9"/>
    <w:rsid w:val="00034F14"/>
    <w:rsid w:val="00035180"/>
    <w:rsid w:val="000467E8"/>
    <w:rsid w:val="00047672"/>
    <w:rsid w:val="00060CE4"/>
    <w:rsid w:val="00063054"/>
    <w:rsid w:val="00070911"/>
    <w:rsid w:val="00070C0E"/>
    <w:rsid w:val="00075373"/>
    <w:rsid w:val="00095AC6"/>
    <w:rsid w:val="000D436B"/>
    <w:rsid w:val="000D5E00"/>
    <w:rsid w:val="000E39F3"/>
    <w:rsid w:val="000F6CE1"/>
    <w:rsid w:val="0012070D"/>
    <w:rsid w:val="00126E53"/>
    <w:rsid w:val="00126FF0"/>
    <w:rsid w:val="00135E57"/>
    <w:rsid w:val="001559AE"/>
    <w:rsid w:val="001744E6"/>
    <w:rsid w:val="00177387"/>
    <w:rsid w:val="001846F7"/>
    <w:rsid w:val="00185C65"/>
    <w:rsid w:val="0019234D"/>
    <w:rsid w:val="001957AF"/>
    <w:rsid w:val="001964CE"/>
    <w:rsid w:val="00196A91"/>
    <w:rsid w:val="001B15E8"/>
    <w:rsid w:val="001B28CD"/>
    <w:rsid w:val="001C5A42"/>
    <w:rsid w:val="001D03C3"/>
    <w:rsid w:val="001D2322"/>
    <w:rsid w:val="001D66F1"/>
    <w:rsid w:val="001E0656"/>
    <w:rsid w:val="001E538F"/>
    <w:rsid w:val="001F32C7"/>
    <w:rsid w:val="002063D0"/>
    <w:rsid w:val="00213531"/>
    <w:rsid w:val="0022250A"/>
    <w:rsid w:val="0022294C"/>
    <w:rsid w:val="00232ED9"/>
    <w:rsid w:val="00237DA1"/>
    <w:rsid w:val="00243DC4"/>
    <w:rsid w:val="00252E27"/>
    <w:rsid w:val="002668D1"/>
    <w:rsid w:val="0026699F"/>
    <w:rsid w:val="00284F84"/>
    <w:rsid w:val="002967DD"/>
    <w:rsid w:val="00297028"/>
    <w:rsid w:val="00297169"/>
    <w:rsid w:val="002A684B"/>
    <w:rsid w:val="002C5711"/>
    <w:rsid w:val="002D7602"/>
    <w:rsid w:val="002E091C"/>
    <w:rsid w:val="00305E01"/>
    <w:rsid w:val="00331F45"/>
    <w:rsid w:val="00337993"/>
    <w:rsid w:val="0035647D"/>
    <w:rsid w:val="0038625B"/>
    <w:rsid w:val="003B1507"/>
    <w:rsid w:val="003C1FD1"/>
    <w:rsid w:val="003F1726"/>
    <w:rsid w:val="00404780"/>
    <w:rsid w:val="00414900"/>
    <w:rsid w:val="00415B69"/>
    <w:rsid w:val="00433637"/>
    <w:rsid w:val="0044680A"/>
    <w:rsid w:val="00446A24"/>
    <w:rsid w:val="0045051B"/>
    <w:rsid w:val="00451469"/>
    <w:rsid w:val="0045242F"/>
    <w:rsid w:val="00471E6B"/>
    <w:rsid w:val="004767D9"/>
    <w:rsid w:val="00494D8C"/>
    <w:rsid w:val="004A2016"/>
    <w:rsid w:val="004A6CBA"/>
    <w:rsid w:val="004C4862"/>
    <w:rsid w:val="004D4D38"/>
    <w:rsid w:val="004D6B3A"/>
    <w:rsid w:val="004E0AC6"/>
    <w:rsid w:val="004E546A"/>
    <w:rsid w:val="004E59BF"/>
    <w:rsid w:val="00507236"/>
    <w:rsid w:val="005213E8"/>
    <w:rsid w:val="005229BE"/>
    <w:rsid w:val="0052627E"/>
    <w:rsid w:val="00537645"/>
    <w:rsid w:val="00555529"/>
    <w:rsid w:val="005816A0"/>
    <w:rsid w:val="00587D55"/>
    <w:rsid w:val="0059068C"/>
    <w:rsid w:val="005A3536"/>
    <w:rsid w:val="005A4C3B"/>
    <w:rsid w:val="005A6660"/>
    <w:rsid w:val="005A7CEA"/>
    <w:rsid w:val="005B3787"/>
    <w:rsid w:val="005C4E33"/>
    <w:rsid w:val="005C70BC"/>
    <w:rsid w:val="005D04F4"/>
    <w:rsid w:val="005D4A71"/>
    <w:rsid w:val="005D701B"/>
    <w:rsid w:val="005E3176"/>
    <w:rsid w:val="005E5744"/>
    <w:rsid w:val="005F12C5"/>
    <w:rsid w:val="005F4E23"/>
    <w:rsid w:val="005F6282"/>
    <w:rsid w:val="00603A9E"/>
    <w:rsid w:val="00606F84"/>
    <w:rsid w:val="006116D1"/>
    <w:rsid w:val="00625C91"/>
    <w:rsid w:val="00634374"/>
    <w:rsid w:val="006409DF"/>
    <w:rsid w:val="00645A48"/>
    <w:rsid w:val="00665440"/>
    <w:rsid w:val="00665FB0"/>
    <w:rsid w:val="006770F0"/>
    <w:rsid w:val="00694E22"/>
    <w:rsid w:val="00696E5E"/>
    <w:rsid w:val="00697756"/>
    <w:rsid w:val="006A2677"/>
    <w:rsid w:val="006B59B3"/>
    <w:rsid w:val="006B7768"/>
    <w:rsid w:val="006C5606"/>
    <w:rsid w:val="006C6380"/>
    <w:rsid w:val="006D29C5"/>
    <w:rsid w:val="006D2FD3"/>
    <w:rsid w:val="006F7E4E"/>
    <w:rsid w:val="007131BA"/>
    <w:rsid w:val="00730118"/>
    <w:rsid w:val="00736970"/>
    <w:rsid w:val="00737DB2"/>
    <w:rsid w:val="0076470E"/>
    <w:rsid w:val="00764755"/>
    <w:rsid w:val="00766F39"/>
    <w:rsid w:val="00772C30"/>
    <w:rsid w:val="00774F02"/>
    <w:rsid w:val="00784566"/>
    <w:rsid w:val="00792DFA"/>
    <w:rsid w:val="00794AB3"/>
    <w:rsid w:val="007A4167"/>
    <w:rsid w:val="007C093C"/>
    <w:rsid w:val="007D003A"/>
    <w:rsid w:val="007D6218"/>
    <w:rsid w:val="007E314E"/>
    <w:rsid w:val="007E3199"/>
    <w:rsid w:val="0080761D"/>
    <w:rsid w:val="008323D0"/>
    <w:rsid w:val="00833787"/>
    <w:rsid w:val="00835CD8"/>
    <w:rsid w:val="00846D04"/>
    <w:rsid w:val="00853E6C"/>
    <w:rsid w:val="00854047"/>
    <w:rsid w:val="008A6398"/>
    <w:rsid w:val="008B0951"/>
    <w:rsid w:val="008B2A02"/>
    <w:rsid w:val="008C4ECF"/>
    <w:rsid w:val="008E3015"/>
    <w:rsid w:val="008E59FC"/>
    <w:rsid w:val="008E7183"/>
    <w:rsid w:val="008F0ECA"/>
    <w:rsid w:val="008F31CD"/>
    <w:rsid w:val="008F43C0"/>
    <w:rsid w:val="008F7826"/>
    <w:rsid w:val="00902962"/>
    <w:rsid w:val="00910838"/>
    <w:rsid w:val="00921D13"/>
    <w:rsid w:val="00922AE8"/>
    <w:rsid w:val="00931EFD"/>
    <w:rsid w:val="009375DF"/>
    <w:rsid w:val="00940388"/>
    <w:rsid w:val="009479A1"/>
    <w:rsid w:val="00947F03"/>
    <w:rsid w:val="009527F8"/>
    <w:rsid w:val="00953D93"/>
    <w:rsid w:val="00970571"/>
    <w:rsid w:val="00971687"/>
    <w:rsid w:val="00973444"/>
    <w:rsid w:val="009746A4"/>
    <w:rsid w:val="009771B5"/>
    <w:rsid w:val="00980966"/>
    <w:rsid w:val="009825E1"/>
    <w:rsid w:val="0099283B"/>
    <w:rsid w:val="009B43D6"/>
    <w:rsid w:val="009C1A29"/>
    <w:rsid w:val="009D12AA"/>
    <w:rsid w:val="009D70FA"/>
    <w:rsid w:val="009F2F58"/>
    <w:rsid w:val="00A10D6F"/>
    <w:rsid w:val="00A16450"/>
    <w:rsid w:val="00A30825"/>
    <w:rsid w:val="00A30940"/>
    <w:rsid w:val="00A35F4D"/>
    <w:rsid w:val="00A37837"/>
    <w:rsid w:val="00A37D9F"/>
    <w:rsid w:val="00A54592"/>
    <w:rsid w:val="00A6003C"/>
    <w:rsid w:val="00A6170E"/>
    <w:rsid w:val="00A6202C"/>
    <w:rsid w:val="00A633D7"/>
    <w:rsid w:val="00A64538"/>
    <w:rsid w:val="00A75CD5"/>
    <w:rsid w:val="00A80FC7"/>
    <w:rsid w:val="00A83799"/>
    <w:rsid w:val="00A94C04"/>
    <w:rsid w:val="00AB4AA2"/>
    <w:rsid w:val="00AC0E4D"/>
    <w:rsid w:val="00B11548"/>
    <w:rsid w:val="00B26DCD"/>
    <w:rsid w:val="00B3385F"/>
    <w:rsid w:val="00B344F6"/>
    <w:rsid w:val="00B45453"/>
    <w:rsid w:val="00B527DC"/>
    <w:rsid w:val="00B52CDD"/>
    <w:rsid w:val="00B713C1"/>
    <w:rsid w:val="00B8657B"/>
    <w:rsid w:val="00B9531D"/>
    <w:rsid w:val="00B96C9F"/>
    <w:rsid w:val="00BB2E5D"/>
    <w:rsid w:val="00BC417C"/>
    <w:rsid w:val="00BD6159"/>
    <w:rsid w:val="00BE0DAE"/>
    <w:rsid w:val="00BF0212"/>
    <w:rsid w:val="00C22A20"/>
    <w:rsid w:val="00C30107"/>
    <w:rsid w:val="00C4575D"/>
    <w:rsid w:val="00C457FE"/>
    <w:rsid w:val="00C56E27"/>
    <w:rsid w:val="00C670D7"/>
    <w:rsid w:val="00C8336F"/>
    <w:rsid w:val="00C8716F"/>
    <w:rsid w:val="00C92A4B"/>
    <w:rsid w:val="00CA64A0"/>
    <w:rsid w:val="00CE2479"/>
    <w:rsid w:val="00CF0FBA"/>
    <w:rsid w:val="00CF363F"/>
    <w:rsid w:val="00CF703F"/>
    <w:rsid w:val="00D11DC5"/>
    <w:rsid w:val="00D212AA"/>
    <w:rsid w:val="00D278F1"/>
    <w:rsid w:val="00D27F12"/>
    <w:rsid w:val="00D52833"/>
    <w:rsid w:val="00D54043"/>
    <w:rsid w:val="00D565FB"/>
    <w:rsid w:val="00D615B2"/>
    <w:rsid w:val="00DA5F4A"/>
    <w:rsid w:val="00DC1D6E"/>
    <w:rsid w:val="00DD2E11"/>
    <w:rsid w:val="00DD776E"/>
    <w:rsid w:val="00DE0BDA"/>
    <w:rsid w:val="00DE6647"/>
    <w:rsid w:val="00DF6617"/>
    <w:rsid w:val="00DF7C7E"/>
    <w:rsid w:val="00E03305"/>
    <w:rsid w:val="00E05921"/>
    <w:rsid w:val="00E07CC9"/>
    <w:rsid w:val="00E17612"/>
    <w:rsid w:val="00E2159F"/>
    <w:rsid w:val="00E23E5B"/>
    <w:rsid w:val="00E275A5"/>
    <w:rsid w:val="00E37647"/>
    <w:rsid w:val="00E41381"/>
    <w:rsid w:val="00E4741E"/>
    <w:rsid w:val="00E8719D"/>
    <w:rsid w:val="00EA0A1A"/>
    <w:rsid w:val="00EA597A"/>
    <w:rsid w:val="00EB631F"/>
    <w:rsid w:val="00EB7923"/>
    <w:rsid w:val="00EC1F9E"/>
    <w:rsid w:val="00EC397E"/>
    <w:rsid w:val="00EC3A36"/>
    <w:rsid w:val="00EC3EF3"/>
    <w:rsid w:val="00ED037D"/>
    <w:rsid w:val="00ED4B71"/>
    <w:rsid w:val="00ED74B8"/>
    <w:rsid w:val="00EF0391"/>
    <w:rsid w:val="00EF328B"/>
    <w:rsid w:val="00EF5352"/>
    <w:rsid w:val="00EF67F9"/>
    <w:rsid w:val="00F107BB"/>
    <w:rsid w:val="00F13F6A"/>
    <w:rsid w:val="00F155B5"/>
    <w:rsid w:val="00F218F0"/>
    <w:rsid w:val="00F25F8F"/>
    <w:rsid w:val="00F43782"/>
    <w:rsid w:val="00F449C7"/>
    <w:rsid w:val="00F51566"/>
    <w:rsid w:val="00F5419A"/>
    <w:rsid w:val="00F74B24"/>
    <w:rsid w:val="00F75940"/>
    <w:rsid w:val="00F77455"/>
    <w:rsid w:val="00F82393"/>
    <w:rsid w:val="00F848EF"/>
    <w:rsid w:val="00F85654"/>
    <w:rsid w:val="00F95FD0"/>
    <w:rsid w:val="00FA458E"/>
    <w:rsid w:val="00FA6539"/>
    <w:rsid w:val="00FC1067"/>
    <w:rsid w:val="00FD5AB9"/>
    <w:rsid w:val="00FD63B9"/>
    <w:rsid w:val="00FE7544"/>
    <w:rsid w:val="00FE7C2F"/>
    <w:rsid w:val="00FF3F21"/>
    <w:rsid w:val="00FF45E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97593B"/>
  <w15:docId w15:val="{DB878481-2B47-4C8B-98EE-E08FA1547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18"/>
        <w:szCs w:val="24"/>
        <w:lang w:val="en-GB" w:eastAsia="zh-TW" w:bidi="ar-SA"/>
      </w:rPr>
    </w:rPrDefault>
    <w:pPrDefault/>
  </w:docDefaults>
  <w:latentStyles w:defLockedState="0" w:defUIPriority="98" w:defSemiHidden="0" w:defUnhideWhenUsed="0" w:defQFormat="0" w:count="376">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atentStyles>
  <w:style w:type="paragraph" w:default="1" w:styleId="Normal">
    <w:name w:val="Normal"/>
    <w:qFormat/>
    <w:rsid w:val="007131BA"/>
    <w:pPr>
      <w:spacing w:line="264" w:lineRule="auto"/>
      <w:jc w:val="both"/>
    </w:pPr>
    <w:rPr>
      <w:rFonts w:ascii="Verdana" w:eastAsia="Times New Roman" w:hAnsi="Verdana" w:cs="Times New Roman"/>
      <w:szCs w:val="18"/>
      <w:lang w:eastAsia="en-GB"/>
    </w:rPr>
  </w:style>
  <w:style w:type="paragraph" w:styleId="Heading1">
    <w:name w:val="heading 1"/>
    <w:basedOn w:val="NormalAshurst"/>
    <w:uiPriority w:val="98"/>
    <w:semiHidden/>
    <w:rsid w:val="00B12EF5"/>
    <w:pPr>
      <w:numPr>
        <w:numId w:val="1"/>
      </w:numPr>
      <w:outlineLvl w:val="0"/>
    </w:pPr>
    <w:rPr>
      <w:bCs/>
      <w:kern w:val="32"/>
    </w:rPr>
  </w:style>
  <w:style w:type="paragraph" w:styleId="Heading2">
    <w:name w:val="heading 2"/>
    <w:basedOn w:val="NormalAshurst"/>
    <w:uiPriority w:val="98"/>
    <w:semiHidden/>
    <w:rsid w:val="00B12EF5"/>
    <w:pPr>
      <w:numPr>
        <w:ilvl w:val="1"/>
        <w:numId w:val="1"/>
      </w:numPr>
      <w:outlineLvl w:val="1"/>
    </w:pPr>
    <w:rPr>
      <w:bCs/>
      <w:iCs/>
    </w:rPr>
  </w:style>
  <w:style w:type="paragraph" w:styleId="Heading3">
    <w:name w:val="heading 3"/>
    <w:basedOn w:val="NormalAshurst"/>
    <w:uiPriority w:val="98"/>
    <w:semiHidden/>
    <w:rsid w:val="00B12EF5"/>
    <w:pPr>
      <w:numPr>
        <w:ilvl w:val="2"/>
        <w:numId w:val="1"/>
      </w:numPr>
      <w:outlineLvl w:val="2"/>
    </w:pPr>
    <w:rPr>
      <w:bCs/>
    </w:rPr>
  </w:style>
  <w:style w:type="paragraph" w:styleId="Heading4">
    <w:name w:val="heading 4"/>
    <w:basedOn w:val="NormalAshurst"/>
    <w:uiPriority w:val="98"/>
    <w:semiHidden/>
    <w:rsid w:val="00B12EF5"/>
    <w:pPr>
      <w:numPr>
        <w:ilvl w:val="3"/>
        <w:numId w:val="1"/>
      </w:numPr>
      <w:outlineLvl w:val="3"/>
    </w:pPr>
    <w:rPr>
      <w:bCs/>
    </w:rPr>
  </w:style>
  <w:style w:type="paragraph" w:styleId="Heading5">
    <w:name w:val="heading 5"/>
    <w:basedOn w:val="NormalAshurst"/>
    <w:uiPriority w:val="98"/>
    <w:semiHidden/>
    <w:rsid w:val="00B12EF5"/>
    <w:pPr>
      <w:numPr>
        <w:ilvl w:val="4"/>
        <w:numId w:val="1"/>
      </w:numPr>
      <w:outlineLvl w:val="4"/>
    </w:pPr>
    <w:rPr>
      <w:bCs/>
      <w:iCs/>
    </w:rPr>
  </w:style>
  <w:style w:type="paragraph" w:styleId="Heading6">
    <w:name w:val="heading 6"/>
    <w:basedOn w:val="NormalAshurst"/>
    <w:uiPriority w:val="98"/>
    <w:semiHidden/>
    <w:rsid w:val="00B12EF5"/>
    <w:pPr>
      <w:numPr>
        <w:ilvl w:val="5"/>
        <w:numId w:val="1"/>
      </w:numPr>
      <w:outlineLvl w:val="5"/>
    </w:pPr>
    <w:rPr>
      <w:bCs/>
    </w:rPr>
  </w:style>
  <w:style w:type="paragraph" w:styleId="Heading7">
    <w:name w:val="heading 7"/>
    <w:basedOn w:val="NormalAshurst"/>
    <w:uiPriority w:val="98"/>
    <w:semiHidden/>
    <w:rsid w:val="00B12EF5"/>
    <w:pPr>
      <w:numPr>
        <w:ilvl w:val="6"/>
        <w:numId w:val="1"/>
      </w:numPr>
      <w:outlineLvl w:val="6"/>
    </w:pPr>
  </w:style>
  <w:style w:type="paragraph" w:styleId="Heading8">
    <w:name w:val="heading 8"/>
    <w:basedOn w:val="NormalAshurst"/>
    <w:uiPriority w:val="98"/>
    <w:semiHidden/>
    <w:rsid w:val="00B12EF5"/>
    <w:pPr>
      <w:numPr>
        <w:ilvl w:val="7"/>
        <w:numId w:val="1"/>
      </w:numPr>
      <w:outlineLvl w:val="7"/>
    </w:pPr>
    <w:rPr>
      <w:iCs/>
    </w:rPr>
  </w:style>
  <w:style w:type="paragraph" w:styleId="Heading9">
    <w:name w:val="heading 9"/>
    <w:basedOn w:val="NormalAshurst"/>
    <w:uiPriority w:val="98"/>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B12EF5"/>
    <w:pPr>
      <w:suppressAutoHyphens/>
      <w:spacing w:after="220" w:line="264" w:lineRule="auto"/>
      <w:jc w:val="both"/>
    </w:pPr>
  </w:style>
  <w:style w:type="paragraph" w:customStyle="1" w:styleId="StandardAshurst">
    <w:name w:val="StandardAshurst"/>
    <w:basedOn w:val="NormalAshurst"/>
    <w:link w:val="StandardAshurstChar"/>
    <w:qFormat/>
    <w:rsid w:val="00B12EF5"/>
    <w:pPr>
      <w:spacing w:after="0"/>
    </w:pPr>
  </w:style>
  <w:style w:type="paragraph" w:styleId="Index1">
    <w:name w:val="index 1"/>
    <w:basedOn w:val="Normal"/>
    <w:next w:val="Normal"/>
    <w:uiPriority w:val="98"/>
    <w:semiHidden/>
    <w:rsid w:val="00B12EF5"/>
    <w:pPr>
      <w:spacing w:line="240" w:lineRule="auto"/>
      <w:ind w:left="180" w:hanging="180"/>
    </w:pPr>
  </w:style>
  <w:style w:type="paragraph" w:customStyle="1" w:styleId="B3Ashurst">
    <w:name w:val="B3Ashurst"/>
    <w:basedOn w:val="NormalAshurst"/>
    <w:uiPriority w:val="2"/>
    <w:qFormat/>
    <w:rsid w:val="00B12EF5"/>
    <w:pPr>
      <w:tabs>
        <w:tab w:val="left" w:pos="2030"/>
        <w:tab w:val="left" w:pos="2654"/>
        <w:tab w:val="left" w:pos="3277"/>
        <w:tab w:val="left" w:pos="3901"/>
      </w:tabs>
      <w:ind w:left="1406"/>
    </w:pPr>
  </w:style>
  <w:style w:type="paragraph" w:customStyle="1" w:styleId="BAshurst">
    <w:name w:val="BAshurst"/>
    <w:basedOn w:val="NormalAshurst"/>
    <w:uiPriority w:val="79"/>
    <w:rsid w:val="00B12EF5"/>
    <w:pPr>
      <w:tabs>
        <w:tab w:val="left" w:pos="782"/>
        <w:tab w:val="left" w:pos="1406"/>
        <w:tab w:val="left" w:pos="2030"/>
        <w:tab w:val="left" w:pos="2654"/>
        <w:tab w:val="left" w:pos="3277"/>
        <w:tab w:val="left" w:pos="3901"/>
      </w:tabs>
    </w:pPr>
  </w:style>
  <w:style w:type="paragraph" w:customStyle="1" w:styleId="B4Ashurst">
    <w:name w:val="B4Ashurst"/>
    <w:basedOn w:val="NormalAshurst"/>
    <w:uiPriority w:val="56"/>
    <w:rsid w:val="00B12EF5"/>
    <w:pPr>
      <w:tabs>
        <w:tab w:val="left" w:pos="2654"/>
        <w:tab w:val="left" w:pos="3277"/>
        <w:tab w:val="left" w:pos="3901"/>
      </w:tabs>
      <w:ind w:left="2030"/>
    </w:pPr>
  </w:style>
  <w:style w:type="paragraph" w:customStyle="1" w:styleId="B5Ashurst">
    <w:name w:val="B5Ashurst"/>
    <w:basedOn w:val="NormalAshurst"/>
    <w:uiPriority w:val="56"/>
    <w:rsid w:val="00B12EF5"/>
    <w:pPr>
      <w:tabs>
        <w:tab w:val="left" w:pos="3277"/>
        <w:tab w:val="left" w:pos="3901"/>
      </w:tabs>
      <w:ind w:left="2654"/>
    </w:pPr>
  </w:style>
  <w:style w:type="paragraph" w:customStyle="1" w:styleId="B6Ashurst">
    <w:name w:val="B6Ashurst"/>
    <w:basedOn w:val="NormalAshurst"/>
    <w:uiPriority w:val="56"/>
    <w:rsid w:val="00B12EF5"/>
    <w:pPr>
      <w:tabs>
        <w:tab w:val="left" w:pos="3901"/>
      </w:tabs>
      <w:ind w:left="3277"/>
    </w:pPr>
  </w:style>
  <w:style w:type="paragraph" w:customStyle="1" w:styleId="CBOLDCAPSAshurst">
    <w:name w:val="CBOLDCAPSAshurst"/>
    <w:basedOn w:val="NormalAshurst"/>
    <w:uiPriority w:val="60"/>
    <w:rsid w:val="00B12EF5"/>
    <w:pPr>
      <w:keepNext/>
      <w:jc w:val="center"/>
    </w:pPr>
    <w:rPr>
      <w:b/>
      <w:caps/>
    </w:rPr>
  </w:style>
  <w:style w:type="paragraph" w:customStyle="1" w:styleId="EndnoteMore">
    <w:name w:val="Endnote More"/>
    <w:basedOn w:val="FootnoteMore"/>
    <w:uiPriority w:val="79"/>
    <w:rsid w:val="00B12EF5"/>
  </w:style>
  <w:style w:type="paragraph" w:customStyle="1" w:styleId="LBOLDCAPSAshurst">
    <w:name w:val="LBOLDCAPSAshurst"/>
    <w:basedOn w:val="NormalAshurst"/>
    <w:uiPriority w:val="60"/>
    <w:rsid w:val="00B12EF5"/>
    <w:pPr>
      <w:keepNext/>
      <w:jc w:val="left"/>
    </w:pPr>
    <w:rPr>
      <w:b/>
      <w:caps/>
    </w:rPr>
  </w:style>
  <w:style w:type="paragraph" w:customStyle="1" w:styleId="RBOLDCAPSAshurst">
    <w:name w:val="RBOLDCAPSAshurst"/>
    <w:basedOn w:val="NormalAshurst"/>
    <w:uiPriority w:val="60"/>
    <w:rsid w:val="00B12EF5"/>
    <w:pPr>
      <w:keepNext/>
      <w:jc w:val="right"/>
    </w:pPr>
    <w:rPr>
      <w:b/>
      <w:caps/>
    </w:rPr>
  </w:style>
  <w:style w:type="paragraph" w:customStyle="1" w:styleId="SCHEDULEAshurst">
    <w:name w:val="SCHEDULEAshurst"/>
    <w:basedOn w:val="NormalAshurst"/>
    <w:next w:val="SchSubAshurst"/>
    <w:uiPriority w:val="79"/>
    <w:rsid w:val="00B12EF5"/>
    <w:pPr>
      <w:keepNext/>
      <w:numPr>
        <w:numId w:val="15"/>
      </w:numPr>
      <w:jc w:val="center"/>
      <w:outlineLvl w:val="0"/>
    </w:pPr>
    <w:rPr>
      <w:b/>
      <w:caps/>
    </w:rPr>
  </w:style>
  <w:style w:type="paragraph" w:customStyle="1" w:styleId="SchSubAshurst">
    <w:name w:val="SchSubAshurst"/>
    <w:basedOn w:val="NormalAshurst"/>
    <w:next w:val="NormalAshurst"/>
    <w:uiPriority w:val="42"/>
    <w:rsid w:val="00B12EF5"/>
    <w:pPr>
      <w:keepNext/>
      <w:jc w:val="center"/>
      <w:outlineLvl w:val="1"/>
    </w:pPr>
    <w:rPr>
      <w:b/>
    </w:rPr>
  </w:style>
  <w:style w:type="paragraph" w:customStyle="1" w:styleId="H1Ashurst">
    <w:name w:val="H1Ashurst"/>
    <w:basedOn w:val="NormalAshurst"/>
    <w:next w:val="H2Ashurst"/>
    <w:uiPriority w:val="1"/>
    <w:qFormat/>
    <w:rsid w:val="00B12EF5"/>
    <w:pPr>
      <w:keepNext/>
      <w:numPr>
        <w:numId w:val="32"/>
      </w:numPr>
      <w:outlineLvl w:val="0"/>
    </w:pPr>
    <w:rPr>
      <w:b/>
      <w:caps/>
    </w:rPr>
  </w:style>
  <w:style w:type="paragraph" w:customStyle="1" w:styleId="H2Ashurst">
    <w:name w:val="H2Ashurst"/>
    <w:basedOn w:val="NormalAshurst"/>
    <w:uiPriority w:val="1"/>
    <w:qFormat/>
    <w:rsid w:val="00B12EF5"/>
    <w:pPr>
      <w:numPr>
        <w:ilvl w:val="1"/>
        <w:numId w:val="32"/>
      </w:numPr>
      <w:outlineLvl w:val="1"/>
    </w:pPr>
  </w:style>
  <w:style w:type="paragraph" w:customStyle="1" w:styleId="H3Ashurst">
    <w:name w:val="H3Ashurst"/>
    <w:basedOn w:val="NormalAshurst"/>
    <w:link w:val="H3AshurstChar"/>
    <w:uiPriority w:val="1"/>
    <w:qFormat/>
    <w:rsid w:val="00B12EF5"/>
    <w:pPr>
      <w:numPr>
        <w:ilvl w:val="2"/>
        <w:numId w:val="32"/>
      </w:numPr>
      <w:tabs>
        <w:tab w:val="clear" w:pos="1191"/>
        <w:tab w:val="num" w:pos="1406"/>
      </w:tabs>
      <w:ind w:left="1406"/>
      <w:outlineLvl w:val="2"/>
    </w:pPr>
  </w:style>
  <w:style w:type="paragraph" w:customStyle="1" w:styleId="H4Ashurst">
    <w:name w:val="H4Ashurst"/>
    <w:basedOn w:val="NormalAshurst"/>
    <w:uiPriority w:val="1"/>
    <w:qFormat/>
    <w:rsid w:val="00B12EF5"/>
    <w:pPr>
      <w:numPr>
        <w:ilvl w:val="3"/>
        <w:numId w:val="32"/>
      </w:numPr>
      <w:outlineLvl w:val="3"/>
    </w:pPr>
  </w:style>
  <w:style w:type="paragraph" w:customStyle="1" w:styleId="H5Ashurst">
    <w:name w:val="H5Ashurst"/>
    <w:basedOn w:val="NormalAshurst"/>
    <w:uiPriority w:val="1"/>
    <w:qFormat/>
    <w:rsid w:val="00B12EF5"/>
    <w:pPr>
      <w:numPr>
        <w:ilvl w:val="4"/>
        <w:numId w:val="32"/>
      </w:numPr>
      <w:outlineLvl w:val="4"/>
    </w:pPr>
  </w:style>
  <w:style w:type="paragraph" w:customStyle="1" w:styleId="H6Ashurst">
    <w:name w:val="H6Ashurst"/>
    <w:basedOn w:val="NormalAshurst"/>
    <w:uiPriority w:val="38"/>
    <w:rsid w:val="00B12EF5"/>
    <w:pPr>
      <w:numPr>
        <w:ilvl w:val="5"/>
        <w:numId w:val="32"/>
      </w:numPr>
      <w:outlineLvl w:val="5"/>
    </w:pPr>
  </w:style>
  <w:style w:type="paragraph" w:customStyle="1" w:styleId="SH1Ashurst">
    <w:name w:val="SH1Ashurst"/>
    <w:basedOn w:val="NormalAshurst"/>
    <w:next w:val="SH2Ashurst"/>
    <w:uiPriority w:val="15"/>
    <w:rsid w:val="00B12EF5"/>
    <w:pPr>
      <w:keepNext/>
      <w:numPr>
        <w:numId w:val="16"/>
      </w:numPr>
      <w:outlineLvl w:val="0"/>
    </w:pPr>
    <w:rPr>
      <w:b/>
      <w:caps/>
    </w:rPr>
  </w:style>
  <w:style w:type="paragraph" w:customStyle="1" w:styleId="SH2Ashurst">
    <w:name w:val="SH2Ashurst"/>
    <w:basedOn w:val="NormalAshurst"/>
    <w:uiPriority w:val="15"/>
    <w:rsid w:val="00B12EF5"/>
    <w:pPr>
      <w:numPr>
        <w:ilvl w:val="1"/>
        <w:numId w:val="16"/>
      </w:numPr>
      <w:outlineLvl w:val="1"/>
    </w:pPr>
  </w:style>
  <w:style w:type="paragraph" w:customStyle="1" w:styleId="SH3Ashurst">
    <w:name w:val="SH3Ashurst"/>
    <w:basedOn w:val="NormalAshurst"/>
    <w:uiPriority w:val="15"/>
    <w:rsid w:val="00B12EF5"/>
    <w:pPr>
      <w:numPr>
        <w:ilvl w:val="2"/>
        <w:numId w:val="16"/>
      </w:numPr>
      <w:outlineLvl w:val="2"/>
    </w:pPr>
  </w:style>
  <w:style w:type="paragraph" w:customStyle="1" w:styleId="SH4Ashurst">
    <w:name w:val="SH4Ashurst"/>
    <w:basedOn w:val="NormalAshurst"/>
    <w:uiPriority w:val="15"/>
    <w:rsid w:val="00B12EF5"/>
    <w:pPr>
      <w:numPr>
        <w:ilvl w:val="3"/>
        <w:numId w:val="16"/>
      </w:numPr>
      <w:outlineLvl w:val="3"/>
    </w:pPr>
  </w:style>
  <w:style w:type="paragraph" w:customStyle="1" w:styleId="SH5Ashurst">
    <w:name w:val="SH5Ashurst"/>
    <w:basedOn w:val="NormalAshurst"/>
    <w:uiPriority w:val="44"/>
    <w:rsid w:val="00B12EF5"/>
    <w:pPr>
      <w:numPr>
        <w:ilvl w:val="4"/>
        <w:numId w:val="16"/>
      </w:numPr>
      <w:outlineLvl w:val="4"/>
    </w:pPr>
  </w:style>
  <w:style w:type="paragraph" w:customStyle="1" w:styleId="AltH1Ashurst">
    <w:name w:val="AltH1Ashurst"/>
    <w:basedOn w:val="NormalAshurst"/>
    <w:uiPriority w:val="40"/>
    <w:rsid w:val="00B12EF5"/>
    <w:pPr>
      <w:numPr>
        <w:numId w:val="31"/>
      </w:numPr>
      <w:outlineLvl w:val="0"/>
    </w:pPr>
  </w:style>
  <w:style w:type="paragraph" w:customStyle="1" w:styleId="AltH2Ashurst">
    <w:name w:val="AltH2Ashurst"/>
    <w:basedOn w:val="NormalAshurst"/>
    <w:uiPriority w:val="40"/>
    <w:rsid w:val="00B12EF5"/>
    <w:pPr>
      <w:numPr>
        <w:ilvl w:val="1"/>
        <w:numId w:val="31"/>
      </w:numPr>
      <w:outlineLvl w:val="1"/>
    </w:pPr>
  </w:style>
  <w:style w:type="paragraph" w:customStyle="1" w:styleId="AltH3Ashurst">
    <w:name w:val="AltH3Ashurst"/>
    <w:basedOn w:val="NormalAshurst"/>
    <w:uiPriority w:val="40"/>
    <w:rsid w:val="00B12EF5"/>
    <w:pPr>
      <w:numPr>
        <w:ilvl w:val="2"/>
        <w:numId w:val="31"/>
      </w:numPr>
      <w:outlineLvl w:val="2"/>
    </w:pPr>
  </w:style>
  <w:style w:type="paragraph" w:customStyle="1" w:styleId="AltH4Ashurst">
    <w:name w:val="AltH4Ashurst"/>
    <w:basedOn w:val="NormalAshurst"/>
    <w:uiPriority w:val="40"/>
    <w:rsid w:val="00B12EF5"/>
    <w:pPr>
      <w:numPr>
        <w:ilvl w:val="3"/>
        <w:numId w:val="31"/>
      </w:numPr>
      <w:outlineLvl w:val="3"/>
    </w:pPr>
  </w:style>
  <w:style w:type="paragraph" w:customStyle="1" w:styleId="AltH5Ashurst">
    <w:name w:val="AltH5Ashurst"/>
    <w:basedOn w:val="NormalAshurst"/>
    <w:uiPriority w:val="40"/>
    <w:rsid w:val="00B12EF5"/>
    <w:pPr>
      <w:numPr>
        <w:ilvl w:val="4"/>
        <w:numId w:val="31"/>
      </w:numPr>
      <w:outlineLvl w:val="4"/>
    </w:pPr>
  </w:style>
  <w:style w:type="paragraph" w:customStyle="1" w:styleId="AltH6Ashurst">
    <w:name w:val="AltH6Ashurst"/>
    <w:basedOn w:val="NormalAshurst"/>
    <w:uiPriority w:val="40"/>
    <w:rsid w:val="00B12EF5"/>
    <w:pPr>
      <w:numPr>
        <w:ilvl w:val="5"/>
        <w:numId w:val="31"/>
      </w:numPr>
      <w:outlineLvl w:val="5"/>
    </w:pPr>
  </w:style>
  <w:style w:type="paragraph" w:customStyle="1" w:styleId="AltSH1Ashurst">
    <w:name w:val="AltSH1Ashurst"/>
    <w:basedOn w:val="NormalAshurst"/>
    <w:uiPriority w:val="45"/>
    <w:rsid w:val="00B12EF5"/>
    <w:pPr>
      <w:numPr>
        <w:numId w:val="17"/>
      </w:numPr>
      <w:outlineLvl w:val="0"/>
    </w:pPr>
  </w:style>
  <w:style w:type="paragraph" w:customStyle="1" w:styleId="AltSH2Ashurst">
    <w:name w:val="AltSH2Ashurst"/>
    <w:basedOn w:val="NormalAshurst"/>
    <w:uiPriority w:val="45"/>
    <w:rsid w:val="00B12EF5"/>
    <w:pPr>
      <w:numPr>
        <w:ilvl w:val="1"/>
        <w:numId w:val="17"/>
      </w:numPr>
      <w:outlineLvl w:val="1"/>
    </w:pPr>
  </w:style>
  <w:style w:type="paragraph" w:customStyle="1" w:styleId="AltSH3Ashurst">
    <w:name w:val="AltSH3Ashurst"/>
    <w:basedOn w:val="NormalAshurst"/>
    <w:uiPriority w:val="45"/>
    <w:rsid w:val="00B12EF5"/>
    <w:pPr>
      <w:numPr>
        <w:ilvl w:val="2"/>
        <w:numId w:val="17"/>
      </w:numPr>
      <w:outlineLvl w:val="2"/>
    </w:pPr>
  </w:style>
  <w:style w:type="paragraph" w:customStyle="1" w:styleId="AltSH4Ashurst">
    <w:name w:val="AltSH4Ashurst"/>
    <w:basedOn w:val="NormalAshurst"/>
    <w:uiPriority w:val="45"/>
    <w:rsid w:val="00B12EF5"/>
    <w:pPr>
      <w:numPr>
        <w:ilvl w:val="3"/>
        <w:numId w:val="17"/>
      </w:numPr>
      <w:outlineLvl w:val="3"/>
    </w:pPr>
  </w:style>
  <w:style w:type="paragraph" w:customStyle="1" w:styleId="AltSH5Ashurst">
    <w:name w:val="AltSH5Ashurst"/>
    <w:basedOn w:val="NormalAshurst"/>
    <w:uiPriority w:val="45"/>
    <w:rsid w:val="00B12EF5"/>
    <w:pPr>
      <w:numPr>
        <w:ilvl w:val="4"/>
        <w:numId w:val="17"/>
      </w:numPr>
      <w:outlineLvl w:val="4"/>
    </w:pPr>
  </w:style>
  <w:style w:type="paragraph" w:customStyle="1" w:styleId="PartiesAshurst">
    <w:name w:val="PartiesAshurst"/>
    <w:basedOn w:val="NormalAshurst"/>
    <w:uiPriority w:val="26"/>
    <w:rsid w:val="00B12EF5"/>
    <w:pPr>
      <w:numPr>
        <w:numId w:val="18"/>
      </w:numPr>
      <w:outlineLvl w:val="0"/>
    </w:pPr>
  </w:style>
  <w:style w:type="paragraph" w:customStyle="1" w:styleId="RecitalsAshurst">
    <w:name w:val="RecitalsAshurst"/>
    <w:basedOn w:val="NormalAshurst"/>
    <w:uiPriority w:val="26"/>
    <w:rsid w:val="00B12EF5"/>
    <w:pPr>
      <w:numPr>
        <w:numId w:val="19"/>
      </w:numPr>
      <w:outlineLvl w:val="0"/>
    </w:pPr>
  </w:style>
  <w:style w:type="paragraph" w:customStyle="1" w:styleId="DefinitionsAshurst">
    <w:name w:val="DefinitionsAshurst"/>
    <w:basedOn w:val="NormalAshurst"/>
    <w:uiPriority w:val="26"/>
    <w:rsid w:val="00B12EF5"/>
    <w:pPr>
      <w:numPr>
        <w:ilvl w:val="1"/>
        <w:numId w:val="30"/>
      </w:numPr>
      <w:outlineLvl w:val="1"/>
    </w:pPr>
  </w:style>
  <w:style w:type="paragraph" w:customStyle="1" w:styleId="DefSubAshurst">
    <w:name w:val="DefSubAshurst"/>
    <w:basedOn w:val="NormalAshurst"/>
    <w:uiPriority w:val="26"/>
    <w:rsid w:val="00B12EF5"/>
    <w:pPr>
      <w:numPr>
        <w:ilvl w:val="2"/>
        <w:numId w:val="30"/>
      </w:numPr>
      <w:outlineLvl w:val="2"/>
    </w:pPr>
  </w:style>
  <w:style w:type="paragraph" w:customStyle="1" w:styleId="Bullet1Ashurst">
    <w:name w:val="Bullet1Ashurst"/>
    <w:basedOn w:val="NormalAshurst"/>
    <w:uiPriority w:val="15"/>
    <w:rsid w:val="00B12EF5"/>
    <w:pPr>
      <w:numPr>
        <w:numId w:val="20"/>
      </w:numPr>
    </w:pPr>
  </w:style>
  <w:style w:type="paragraph" w:customStyle="1" w:styleId="Bullet2Ashurst">
    <w:name w:val="Bullet2Ashurst"/>
    <w:basedOn w:val="NormalAshurst"/>
    <w:uiPriority w:val="48"/>
    <w:rsid w:val="00B12EF5"/>
    <w:pPr>
      <w:numPr>
        <w:numId w:val="21"/>
      </w:numPr>
    </w:pPr>
  </w:style>
  <w:style w:type="paragraph" w:customStyle="1" w:styleId="Bullet3Ashurst">
    <w:name w:val="Bullet3Ashurst"/>
    <w:basedOn w:val="NormalAshurst"/>
    <w:uiPriority w:val="57"/>
    <w:rsid w:val="00B12EF5"/>
    <w:pPr>
      <w:numPr>
        <w:numId w:val="22"/>
      </w:numPr>
    </w:pPr>
  </w:style>
  <w:style w:type="paragraph" w:customStyle="1" w:styleId="Bullet4Ashurst">
    <w:name w:val="Bullet4Ashurst"/>
    <w:basedOn w:val="NormalAshurst"/>
    <w:uiPriority w:val="57"/>
    <w:rsid w:val="00B12EF5"/>
    <w:pPr>
      <w:numPr>
        <w:numId w:val="23"/>
      </w:numPr>
    </w:pPr>
  </w:style>
  <w:style w:type="paragraph" w:customStyle="1" w:styleId="Bullet5Ashurst">
    <w:name w:val="Bullet5Ashurst"/>
    <w:basedOn w:val="NormalAshurst"/>
    <w:uiPriority w:val="57"/>
    <w:rsid w:val="00B12EF5"/>
    <w:pPr>
      <w:numPr>
        <w:numId w:val="24"/>
      </w:numPr>
    </w:pPr>
  </w:style>
  <w:style w:type="paragraph" w:customStyle="1" w:styleId="Bullet6Ashurst">
    <w:name w:val="Bullet6Ashurst"/>
    <w:basedOn w:val="NormalAshurst"/>
    <w:uiPriority w:val="57"/>
    <w:rsid w:val="00B12EF5"/>
    <w:pPr>
      <w:numPr>
        <w:numId w:val="25"/>
      </w:numPr>
    </w:pPr>
  </w:style>
  <w:style w:type="character" w:customStyle="1" w:styleId="NormalAshurstChar">
    <w:name w:val="NormalAshurst Char"/>
    <w:basedOn w:val="DefaultParagraphFont"/>
    <w:link w:val="NormalAshurst"/>
    <w:rsid w:val="00B12EF5"/>
  </w:style>
  <w:style w:type="paragraph" w:customStyle="1" w:styleId="FootnoteMore">
    <w:name w:val="Footnote More"/>
    <w:basedOn w:val="NormalAshurst"/>
    <w:uiPriority w:val="79"/>
    <w:rsid w:val="00B96EBF"/>
    <w:pPr>
      <w:tabs>
        <w:tab w:val="left" w:pos="782"/>
        <w:tab w:val="left" w:pos="1406"/>
        <w:tab w:val="left" w:pos="2030"/>
      </w:tabs>
      <w:spacing w:after="100" w:line="200" w:lineRule="atLeast"/>
      <w:ind w:left="782"/>
    </w:pPr>
    <w:rPr>
      <w:sz w:val="14"/>
      <w:szCs w:val="20"/>
    </w:rPr>
  </w:style>
  <w:style w:type="paragraph" w:customStyle="1" w:styleId="TableAshurst">
    <w:name w:val="TableAshurst"/>
    <w:basedOn w:val="NormalAshurst"/>
    <w:uiPriority w:val="60"/>
    <w:rsid w:val="00B12EF5"/>
    <w:pPr>
      <w:spacing w:before="110" w:after="110"/>
    </w:pPr>
  </w:style>
  <w:style w:type="paragraph" w:customStyle="1" w:styleId="APPENDIXAshurst">
    <w:name w:val="APPENDIXAshurst"/>
    <w:basedOn w:val="NormalAshurst"/>
    <w:next w:val="AppendixSubAshurst"/>
    <w:uiPriority w:val="79"/>
    <w:rsid w:val="00B12EF5"/>
    <w:pPr>
      <w:keepNext/>
      <w:numPr>
        <w:numId w:val="26"/>
      </w:numPr>
      <w:jc w:val="center"/>
      <w:outlineLvl w:val="0"/>
    </w:pPr>
    <w:rPr>
      <w:b/>
      <w:caps/>
    </w:rPr>
  </w:style>
  <w:style w:type="paragraph" w:customStyle="1" w:styleId="AppendixSubAshurst">
    <w:name w:val="AppendixSubAshurst"/>
    <w:basedOn w:val="NormalAshurst"/>
    <w:next w:val="NormalAshurst"/>
    <w:uiPriority w:val="43"/>
    <w:rsid w:val="00B12EF5"/>
    <w:pPr>
      <w:keepNext/>
      <w:jc w:val="center"/>
      <w:outlineLvl w:val="1"/>
    </w:pPr>
    <w:rPr>
      <w:b/>
    </w:rPr>
  </w:style>
  <w:style w:type="paragraph" w:customStyle="1" w:styleId="B12Ashurst">
    <w:name w:val="B1&amp;2Ashurst"/>
    <w:basedOn w:val="NormalAshurst"/>
    <w:uiPriority w:val="2"/>
    <w:qFormat/>
    <w:rsid w:val="00B12EF5"/>
    <w:pPr>
      <w:tabs>
        <w:tab w:val="left" w:pos="1406"/>
        <w:tab w:val="left" w:pos="2030"/>
        <w:tab w:val="left" w:pos="2654"/>
        <w:tab w:val="left" w:pos="3277"/>
        <w:tab w:val="left" w:pos="3901"/>
      </w:tabs>
      <w:ind w:left="782"/>
    </w:pPr>
  </w:style>
  <w:style w:type="paragraph" w:customStyle="1" w:styleId="BulletAshurst">
    <w:name w:val="BulletAshurst"/>
    <w:basedOn w:val="NormalAshurst"/>
    <w:rsid w:val="00B12EF5"/>
    <w:pPr>
      <w:numPr>
        <w:numId w:val="27"/>
      </w:numPr>
    </w:pPr>
  </w:style>
  <w:style w:type="paragraph" w:customStyle="1" w:styleId="TOCSubHeadingAshurst">
    <w:name w:val="TOCSubHeadingAshurst"/>
    <w:basedOn w:val="CBOLDCAPSAshurst"/>
    <w:next w:val="NormalAshurst"/>
    <w:uiPriority w:val="79"/>
    <w:rsid w:val="00B12EF5"/>
    <w:pPr>
      <w:tabs>
        <w:tab w:val="right" w:pos="9072"/>
      </w:tabs>
      <w:jc w:val="left"/>
      <w:outlineLvl w:val="0"/>
    </w:pPr>
  </w:style>
  <w:style w:type="character" w:customStyle="1" w:styleId="HiddenAshurst">
    <w:name w:val="HiddenAshurst"/>
    <w:uiPriority w:val="37"/>
    <w:rsid w:val="00B12EF5"/>
    <w:rPr>
      <w:rFonts w:asciiTheme="minorHAnsi" w:eastAsiaTheme="minorEastAsia" w:hAnsiTheme="minorHAnsi" w:cstheme="minorBidi"/>
      <w:vanish/>
      <w:color w:val="FF0000"/>
      <w:szCs w:val="24"/>
    </w:rPr>
  </w:style>
  <w:style w:type="paragraph" w:customStyle="1" w:styleId="StandardBoldAshurst">
    <w:name w:val="StandardBoldAshurst"/>
    <w:basedOn w:val="StandardAshurst"/>
    <w:next w:val="NormalAshurst"/>
    <w:uiPriority w:val="60"/>
    <w:rsid w:val="00B12EF5"/>
    <w:rPr>
      <w:b/>
    </w:rPr>
  </w:style>
  <w:style w:type="paragraph" w:customStyle="1" w:styleId="BN36ptBeforeAshurst">
    <w:name w:val="BN36ptBeforeAshurst"/>
    <w:basedOn w:val="NormalAshurst"/>
    <w:uiPriority w:val="61"/>
    <w:rsid w:val="00B12EF5"/>
    <w:pPr>
      <w:spacing w:before="720" w:after="0"/>
    </w:pPr>
  </w:style>
  <w:style w:type="paragraph" w:customStyle="1" w:styleId="BN45ptBeforeAshurst">
    <w:name w:val="BN45ptBeforeAshurst"/>
    <w:basedOn w:val="NormalAshurst"/>
    <w:next w:val="NormalAshurst"/>
    <w:uiPriority w:val="61"/>
    <w:rsid w:val="00B12EF5"/>
    <w:pPr>
      <w:spacing w:before="900" w:after="0"/>
    </w:pPr>
  </w:style>
  <w:style w:type="paragraph" w:customStyle="1" w:styleId="BNDocTypeAshurst">
    <w:name w:val="BNDocTypeAshurst"/>
    <w:basedOn w:val="Normal"/>
    <w:next w:val="StandardAshurst"/>
    <w:uiPriority w:val="61"/>
    <w:rsid w:val="00B12EF5"/>
    <w:pPr>
      <w:spacing w:before="1120" w:after="860"/>
      <w:jc w:val="left"/>
    </w:pPr>
    <w:rPr>
      <w:b/>
      <w:sz w:val="24"/>
      <w:szCs w:val="30"/>
    </w:rPr>
  </w:style>
  <w:style w:type="paragraph" w:customStyle="1" w:styleId="BNHealthWarningAshurst">
    <w:name w:val="BNHealthWarningAshurst"/>
    <w:basedOn w:val="NormalAshurst"/>
    <w:next w:val="StandardAshurst"/>
    <w:uiPriority w:val="61"/>
    <w:rsid w:val="00B12EF5"/>
    <w:pPr>
      <w:spacing w:after="200"/>
    </w:pPr>
    <w:rPr>
      <w:b/>
      <w:sz w:val="16"/>
      <w:szCs w:val="22"/>
    </w:rPr>
  </w:style>
  <w:style w:type="paragraph" w:customStyle="1" w:styleId="BNTable1Ashurst">
    <w:name w:val="BNTable1Ashurst"/>
    <w:basedOn w:val="TableAshurst"/>
    <w:uiPriority w:val="61"/>
    <w:rsid w:val="00B12EF5"/>
    <w:pPr>
      <w:spacing w:before="120" w:after="120"/>
    </w:pPr>
    <w:rPr>
      <w:sz w:val="14"/>
      <w:szCs w:val="20"/>
    </w:rPr>
  </w:style>
  <w:style w:type="paragraph" w:customStyle="1" w:styleId="BNTable2Ashurst">
    <w:name w:val="BNTable2Ashurst"/>
    <w:basedOn w:val="BNTable1Ashurst"/>
    <w:uiPriority w:val="61"/>
    <w:rsid w:val="00B12EF5"/>
    <w:pPr>
      <w:ind w:left="108"/>
      <w:jc w:val="left"/>
    </w:pPr>
  </w:style>
  <w:style w:type="paragraph" w:customStyle="1" w:styleId="BNTitle22Ashurst">
    <w:name w:val="BNTitle22Ashurst"/>
    <w:basedOn w:val="NormalAshurst"/>
    <w:uiPriority w:val="61"/>
    <w:rsid w:val="00B12EF5"/>
    <w:pPr>
      <w:spacing w:after="0"/>
      <w:jc w:val="left"/>
    </w:pPr>
    <w:rPr>
      <w:sz w:val="44"/>
      <w:szCs w:val="50"/>
    </w:rPr>
  </w:style>
  <w:style w:type="paragraph" w:customStyle="1" w:styleId="CSSubTitleAshurst">
    <w:name w:val="CSSubTitleAshurst"/>
    <w:basedOn w:val="NormalAshurst"/>
    <w:next w:val="NormalAshurst"/>
    <w:uiPriority w:val="61"/>
    <w:rsid w:val="00B12EF5"/>
    <w:pPr>
      <w:keepNext/>
      <w:jc w:val="left"/>
    </w:pPr>
    <w:rPr>
      <w:sz w:val="32"/>
      <w:szCs w:val="38"/>
    </w:rPr>
  </w:style>
  <w:style w:type="paragraph" w:customStyle="1" w:styleId="CSTitleAshurst">
    <w:name w:val="CSTitleAshurst"/>
    <w:basedOn w:val="NormalAshurst"/>
    <w:next w:val="NormalAshurst"/>
    <w:uiPriority w:val="61"/>
    <w:rsid w:val="00B12EF5"/>
    <w:pPr>
      <w:spacing w:before="1240" w:after="840"/>
      <w:jc w:val="left"/>
    </w:pPr>
    <w:rPr>
      <w:sz w:val="42"/>
      <w:szCs w:val="48"/>
    </w:rPr>
  </w:style>
  <w:style w:type="paragraph" w:customStyle="1" w:styleId="CSTxtAshurst">
    <w:name w:val="CSTxtAshurst"/>
    <w:basedOn w:val="NormalAshurst"/>
    <w:next w:val="NormalAshurst"/>
    <w:uiPriority w:val="61"/>
    <w:rsid w:val="00B12EF5"/>
    <w:pPr>
      <w:jc w:val="left"/>
    </w:pPr>
    <w:rPr>
      <w:sz w:val="24"/>
      <w:szCs w:val="30"/>
    </w:rPr>
  </w:style>
  <w:style w:type="paragraph" w:customStyle="1" w:styleId="MACompaniesAshurst">
    <w:name w:val="M&amp;ACompaniesAshurst"/>
    <w:basedOn w:val="CSTxtAshurst"/>
    <w:uiPriority w:val="61"/>
    <w:rsid w:val="00B12EF5"/>
    <w:pPr>
      <w:spacing w:before="1320" w:after="0"/>
    </w:pPr>
  </w:style>
  <w:style w:type="paragraph" w:customStyle="1" w:styleId="MATitle22Ashurst">
    <w:name w:val="M&amp;ATitle22Ashurst"/>
    <w:basedOn w:val="BNTitle22Ashurst"/>
    <w:uiPriority w:val="61"/>
    <w:rsid w:val="00B12EF5"/>
    <w:pPr>
      <w:spacing w:before="480" w:after="400"/>
    </w:pPr>
  </w:style>
  <w:style w:type="paragraph" w:customStyle="1" w:styleId="ParticularsTableAshurst">
    <w:name w:val="ParticularsTableAshurst"/>
    <w:basedOn w:val="TableAshurst"/>
    <w:uiPriority w:val="61"/>
    <w:rsid w:val="00B12EF5"/>
    <w:pPr>
      <w:jc w:val="left"/>
    </w:pPr>
  </w:style>
  <w:style w:type="paragraph" w:customStyle="1" w:styleId="SDBoldItalicsAshurst">
    <w:name w:val="SDBoldItalicsAshurst"/>
    <w:basedOn w:val="B12Ashurst"/>
    <w:uiPriority w:val="61"/>
    <w:rsid w:val="00B12EF5"/>
    <w:rPr>
      <w:b/>
      <w:i/>
    </w:rPr>
  </w:style>
  <w:style w:type="paragraph" w:customStyle="1" w:styleId="SDDocTypeAshurst">
    <w:name w:val="SDDocTypeAshurst"/>
    <w:basedOn w:val="BNDocTypeAshurst"/>
    <w:next w:val="StandardAshurst"/>
    <w:uiPriority w:val="61"/>
    <w:rsid w:val="00B12EF5"/>
  </w:style>
  <w:style w:type="paragraph" w:customStyle="1" w:styleId="SDTitle22Ashurst">
    <w:name w:val="SDTitle22Ashurst"/>
    <w:basedOn w:val="BNTitle22Ashurst"/>
    <w:next w:val="StandardAshurst"/>
    <w:uiPriority w:val="61"/>
    <w:rsid w:val="00B12EF5"/>
    <w:rPr>
      <w:b/>
    </w:rPr>
  </w:style>
  <w:style w:type="paragraph" w:customStyle="1" w:styleId="BN20ptBeforeAshurst">
    <w:name w:val="BN20ptBeforeAshurst"/>
    <w:basedOn w:val="NormalAshurst"/>
    <w:next w:val="NormalAshurst"/>
    <w:uiPriority w:val="61"/>
    <w:rsid w:val="00B12EF5"/>
    <w:pPr>
      <w:spacing w:before="400" w:after="0"/>
    </w:pPr>
  </w:style>
  <w:style w:type="paragraph" w:customStyle="1" w:styleId="NormalBoldAshurst">
    <w:name w:val="NormalBoldAshurst"/>
    <w:basedOn w:val="NormalAshurst"/>
    <w:next w:val="NormalAshurst"/>
    <w:uiPriority w:val="79"/>
    <w:rsid w:val="00B12EF5"/>
    <w:rPr>
      <w:b/>
    </w:rPr>
  </w:style>
  <w:style w:type="paragraph" w:customStyle="1" w:styleId="TableNum1Ashurst">
    <w:name w:val="TableNum1Ashurst"/>
    <w:basedOn w:val="TableAshurst"/>
    <w:uiPriority w:val="58"/>
    <w:rsid w:val="00B12EF5"/>
    <w:pPr>
      <w:numPr>
        <w:numId w:val="29"/>
      </w:numPr>
      <w:outlineLvl w:val="0"/>
    </w:pPr>
  </w:style>
  <w:style w:type="paragraph" w:customStyle="1" w:styleId="AltRecitalsAshurst">
    <w:name w:val="AltRecitalsAshurst"/>
    <w:basedOn w:val="RecitalsAshurst"/>
    <w:rsid w:val="00B12EF5"/>
    <w:pPr>
      <w:numPr>
        <w:numId w:val="28"/>
      </w:numPr>
    </w:pPr>
  </w:style>
  <w:style w:type="paragraph" w:customStyle="1" w:styleId="LBItalicsAshurst">
    <w:name w:val="LBItalicsAshurst"/>
    <w:basedOn w:val="NormalAshurst"/>
    <w:next w:val="NormalAshurst"/>
    <w:uiPriority w:val="60"/>
    <w:rsid w:val="00B12EF5"/>
    <w:pPr>
      <w:keepNext/>
    </w:pPr>
    <w:rPr>
      <w:b/>
      <w:i/>
    </w:rPr>
  </w:style>
  <w:style w:type="paragraph" w:customStyle="1" w:styleId="TableNum2Ashurst">
    <w:name w:val="TableNum2Ashurst"/>
    <w:basedOn w:val="TableAshurst"/>
    <w:uiPriority w:val="58"/>
    <w:rsid w:val="00B12EF5"/>
    <w:pPr>
      <w:numPr>
        <w:ilvl w:val="1"/>
        <w:numId w:val="29"/>
      </w:numPr>
      <w:outlineLvl w:val="1"/>
    </w:pPr>
  </w:style>
  <w:style w:type="paragraph" w:customStyle="1" w:styleId="TableNum3Ashurst">
    <w:name w:val="TableNum3Ashurst"/>
    <w:basedOn w:val="TableAshurst"/>
    <w:uiPriority w:val="58"/>
    <w:rsid w:val="00B12EF5"/>
    <w:pPr>
      <w:numPr>
        <w:ilvl w:val="2"/>
        <w:numId w:val="29"/>
      </w:numPr>
    </w:pPr>
  </w:style>
  <w:style w:type="paragraph" w:customStyle="1" w:styleId="TableNum4Ashurst">
    <w:name w:val="TableNum4Ashurst"/>
    <w:basedOn w:val="TableAshurst"/>
    <w:uiPriority w:val="58"/>
    <w:rsid w:val="00B12EF5"/>
    <w:pPr>
      <w:numPr>
        <w:ilvl w:val="3"/>
        <w:numId w:val="29"/>
      </w:numPr>
    </w:pPr>
  </w:style>
  <w:style w:type="paragraph" w:customStyle="1" w:styleId="TableNum5Ashurst">
    <w:name w:val="TableNum5Ashurst"/>
    <w:basedOn w:val="TableAshurst"/>
    <w:uiPriority w:val="58"/>
    <w:rsid w:val="00B12EF5"/>
    <w:pPr>
      <w:numPr>
        <w:ilvl w:val="4"/>
        <w:numId w:val="29"/>
      </w:numPr>
    </w:pPr>
  </w:style>
  <w:style w:type="paragraph" w:customStyle="1" w:styleId="TableNum6Ashurst">
    <w:name w:val="TableNum6Ashurst"/>
    <w:basedOn w:val="TableAshurst"/>
    <w:uiPriority w:val="58"/>
    <w:rsid w:val="00B12EF5"/>
    <w:pPr>
      <w:numPr>
        <w:ilvl w:val="5"/>
        <w:numId w:val="29"/>
      </w:numPr>
    </w:pPr>
  </w:style>
  <w:style w:type="paragraph" w:customStyle="1" w:styleId="DefinitionsClauseAshurst">
    <w:name w:val="DefinitionsClauseAshurst"/>
    <w:basedOn w:val="NormalAshurst"/>
    <w:uiPriority w:val="26"/>
    <w:rsid w:val="00B12EF5"/>
    <w:pPr>
      <w:numPr>
        <w:numId w:val="30"/>
      </w:numPr>
      <w:outlineLvl w:val="0"/>
    </w:pPr>
    <w:rPr>
      <w:lang w:eastAsia="en-GB"/>
    </w:rPr>
  </w:style>
  <w:style w:type="paragraph" w:customStyle="1" w:styleId="AltH7Ashurst">
    <w:name w:val="AltH7Ashurst"/>
    <w:basedOn w:val="NormalAshurst"/>
    <w:uiPriority w:val="40"/>
    <w:rsid w:val="00B12EF5"/>
    <w:pPr>
      <w:numPr>
        <w:ilvl w:val="6"/>
        <w:numId w:val="31"/>
      </w:numPr>
      <w:outlineLvl w:val="6"/>
    </w:pPr>
  </w:style>
  <w:style w:type="paragraph" w:customStyle="1" w:styleId="AltH8Ashurst">
    <w:name w:val="AltH8Ashurst"/>
    <w:basedOn w:val="NormalAshurst"/>
    <w:uiPriority w:val="40"/>
    <w:rsid w:val="00B12EF5"/>
    <w:pPr>
      <w:numPr>
        <w:ilvl w:val="7"/>
        <w:numId w:val="31"/>
      </w:numPr>
      <w:outlineLvl w:val="7"/>
    </w:pPr>
  </w:style>
  <w:style w:type="paragraph" w:customStyle="1" w:styleId="H7Ashurst">
    <w:name w:val="H7Ashurst"/>
    <w:basedOn w:val="NormalAshurst"/>
    <w:uiPriority w:val="38"/>
    <w:rsid w:val="00B12EF5"/>
    <w:pPr>
      <w:numPr>
        <w:ilvl w:val="6"/>
        <w:numId w:val="32"/>
      </w:numPr>
      <w:outlineLvl w:val="6"/>
    </w:pPr>
  </w:style>
  <w:style w:type="paragraph" w:customStyle="1" w:styleId="H8Ashurst">
    <w:name w:val="H8Ashurst"/>
    <w:basedOn w:val="NormalAshurst"/>
    <w:uiPriority w:val="38"/>
    <w:rsid w:val="00B12EF5"/>
    <w:pPr>
      <w:numPr>
        <w:ilvl w:val="7"/>
        <w:numId w:val="32"/>
      </w:numPr>
      <w:outlineLvl w:val="7"/>
    </w:pPr>
  </w:style>
  <w:style w:type="paragraph" w:customStyle="1" w:styleId="B7Ashurst">
    <w:name w:val="B7Ashurst"/>
    <w:basedOn w:val="NormalAshurst"/>
    <w:uiPriority w:val="56"/>
    <w:rsid w:val="00B12EF5"/>
    <w:pPr>
      <w:tabs>
        <w:tab w:val="left" w:pos="4525"/>
      </w:tabs>
      <w:ind w:left="3901"/>
    </w:pPr>
  </w:style>
  <w:style w:type="paragraph" w:customStyle="1" w:styleId="B8Ashurst">
    <w:name w:val="B8Ashurst"/>
    <w:basedOn w:val="NormalAshurst"/>
    <w:uiPriority w:val="56"/>
    <w:rsid w:val="00B12EF5"/>
    <w:pPr>
      <w:tabs>
        <w:tab w:val="left" w:pos="5148"/>
      </w:tabs>
      <w:ind w:left="4525"/>
    </w:pPr>
  </w:style>
  <w:style w:type="paragraph" w:styleId="BodyText">
    <w:name w:val="Body Text"/>
    <w:basedOn w:val="Normal"/>
    <w:link w:val="BodyTextChar"/>
    <w:uiPriority w:val="98"/>
    <w:semiHidden/>
    <w:rsid w:val="00B12EF5"/>
    <w:pPr>
      <w:spacing w:after="120"/>
    </w:pPr>
  </w:style>
  <w:style w:type="character" w:customStyle="1" w:styleId="BodyTextChar">
    <w:name w:val="Body Text Char"/>
    <w:basedOn w:val="DefaultParagraphFont"/>
    <w:link w:val="BodyText"/>
    <w:uiPriority w:val="98"/>
    <w:semiHidden/>
    <w:rsid w:val="00B12EF5"/>
    <w:rPr>
      <w:rFonts w:asciiTheme="minorHAnsi" w:eastAsiaTheme="minorEastAsia" w:hAnsiTheme="minorHAnsi" w:cstheme="minorBidi"/>
      <w:szCs w:val="24"/>
    </w:rPr>
  </w:style>
  <w:style w:type="character" w:styleId="FootnoteReference">
    <w:name w:val="footnote reference"/>
    <w:basedOn w:val="DefaultParagraphFont"/>
    <w:uiPriority w:val="98"/>
    <w:rsid w:val="00B12EF5"/>
    <w:rPr>
      <w:rFonts w:asciiTheme="minorHAnsi" w:eastAsiaTheme="minorEastAsia" w:hAnsiTheme="minorHAnsi" w:cstheme="minorBidi"/>
      <w:sz w:val="14"/>
      <w:szCs w:val="20"/>
      <w:vertAlign w:val="superscript"/>
    </w:rPr>
  </w:style>
  <w:style w:type="paragraph" w:styleId="FootnoteText">
    <w:name w:val="footnote text"/>
    <w:basedOn w:val="NormalAshurst"/>
    <w:next w:val="FootnoteMore"/>
    <w:link w:val="FootnoteTextChar"/>
    <w:uiPriority w:val="98"/>
    <w:rsid w:val="00B96EBF"/>
    <w:pPr>
      <w:tabs>
        <w:tab w:val="left" w:pos="782"/>
        <w:tab w:val="left" w:pos="1406"/>
        <w:tab w:val="left" w:pos="2030"/>
      </w:tabs>
      <w:spacing w:after="100" w:line="200" w:lineRule="atLeast"/>
      <w:ind w:left="782" w:hanging="782"/>
    </w:pPr>
    <w:rPr>
      <w:sz w:val="14"/>
      <w:szCs w:val="20"/>
      <w:lang w:eastAsia="zh-CN"/>
    </w:rPr>
  </w:style>
  <w:style w:type="character" w:customStyle="1" w:styleId="FootnoteTextChar">
    <w:name w:val="Footnote Text Char"/>
    <w:basedOn w:val="DefaultParagraphFont"/>
    <w:link w:val="FootnoteText"/>
    <w:uiPriority w:val="98"/>
    <w:rsid w:val="00B96EBF"/>
    <w:rPr>
      <w:rFonts w:asciiTheme="minorHAnsi" w:eastAsiaTheme="minorEastAsia" w:hAnsiTheme="minorHAnsi" w:cstheme="minorBidi"/>
      <w:sz w:val="14"/>
      <w:szCs w:val="20"/>
      <w:lang w:eastAsia="zh-CN"/>
    </w:rPr>
  </w:style>
  <w:style w:type="numbering" w:styleId="111111">
    <w:name w:val="Outline List 2"/>
    <w:basedOn w:val="NoList"/>
    <w:uiPriority w:val="98"/>
    <w:semiHidden/>
    <w:rsid w:val="00B12EF5"/>
    <w:pPr>
      <w:numPr>
        <w:numId w:val="13"/>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4"/>
      </w:numPr>
    </w:pPr>
  </w:style>
  <w:style w:type="paragraph" w:styleId="BalloonText">
    <w:name w:val="Balloon Text"/>
    <w:basedOn w:val="Normal"/>
    <w:link w:val="BalloonTextChar"/>
    <w:uiPriority w:val="98"/>
    <w:semiHidden/>
    <w:rsid w:val="00B12EF5"/>
    <w:pPr>
      <w:spacing w:line="240" w:lineRule="auto"/>
    </w:pPr>
    <w:rPr>
      <w:sz w:val="16"/>
      <w:szCs w:val="22"/>
    </w:rPr>
  </w:style>
  <w:style w:type="character" w:customStyle="1" w:styleId="BalloonTextChar">
    <w:name w:val="Balloon Text Char"/>
    <w:basedOn w:val="DefaultParagraphFont"/>
    <w:link w:val="BalloonText"/>
    <w:uiPriority w:val="98"/>
    <w:semiHidden/>
    <w:rsid w:val="00B12EF5"/>
    <w:rPr>
      <w:rFonts w:asciiTheme="minorHAnsi" w:eastAsiaTheme="minorEastAsia" w:hAnsiTheme="minorHAnsi" w:cstheme="minorBidi"/>
      <w:sz w:val="16"/>
      <w:szCs w:val="22"/>
    </w:rPr>
  </w:style>
  <w:style w:type="paragraph" w:styleId="Bibliography">
    <w:name w:val="Bibliography"/>
    <w:basedOn w:val="Normal"/>
    <w:next w:val="Normal"/>
    <w:uiPriority w:val="98"/>
    <w:semiHidden/>
    <w:rsid w:val="00B12EF5"/>
  </w:style>
  <w:style w:type="paragraph" w:styleId="BlockText">
    <w:name w:val="Block Text"/>
    <w:basedOn w:val="Normal"/>
    <w:uiPriority w:val="98"/>
    <w:semiHidden/>
    <w:rsid w:val="00B12EF5"/>
    <w:pPr>
      <w:pBdr>
        <w:top w:val="single" w:sz="2" w:space="10" w:color="DDDDDD" w:themeColor="accent1" w:frame="1"/>
        <w:left w:val="single" w:sz="2" w:space="10" w:color="DDDDDD" w:themeColor="accent1" w:frame="1"/>
        <w:bottom w:val="single" w:sz="2" w:space="10" w:color="DDDDDD" w:themeColor="accent1" w:frame="1"/>
        <w:right w:val="single" w:sz="2" w:space="10" w:color="DDDDDD" w:themeColor="accent1" w:frame="1"/>
      </w:pBdr>
      <w:ind w:left="1152" w:right="1152"/>
    </w:pPr>
    <w:rPr>
      <w:i/>
      <w:iCs/>
      <w:color w:val="DDDDDD" w:themeColor="accent1"/>
    </w:rPr>
  </w:style>
  <w:style w:type="paragraph" w:styleId="BodyText2">
    <w:name w:val="Body Text 2"/>
    <w:basedOn w:val="Normal"/>
    <w:link w:val="BodyText2Char"/>
    <w:uiPriority w:val="98"/>
    <w:semiHidden/>
    <w:rsid w:val="00B12EF5"/>
    <w:pPr>
      <w:spacing w:after="120" w:line="480" w:lineRule="auto"/>
    </w:pPr>
  </w:style>
  <w:style w:type="character" w:customStyle="1" w:styleId="BodyText2Char">
    <w:name w:val="Body Text 2 Char"/>
    <w:basedOn w:val="DefaultParagraphFont"/>
    <w:link w:val="BodyText2"/>
    <w:uiPriority w:val="98"/>
    <w:semiHidden/>
    <w:rsid w:val="00B12EF5"/>
    <w:rPr>
      <w:rFonts w:asciiTheme="minorHAnsi" w:eastAsiaTheme="minorEastAsia" w:hAnsiTheme="minorHAnsi" w:cstheme="minorBidi"/>
      <w:szCs w:val="24"/>
    </w:rPr>
  </w:style>
  <w:style w:type="paragraph" w:styleId="BodyText3">
    <w:name w:val="Body Text 3"/>
    <w:basedOn w:val="Normal"/>
    <w:link w:val="BodyText3Char"/>
    <w:uiPriority w:val="98"/>
    <w:semiHidden/>
    <w:rsid w:val="00B12EF5"/>
    <w:pPr>
      <w:spacing w:after="120"/>
    </w:pPr>
    <w:rPr>
      <w:sz w:val="16"/>
      <w:szCs w:val="22"/>
    </w:rPr>
  </w:style>
  <w:style w:type="character" w:customStyle="1" w:styleId="BodyText3Char">
    <w:name w:val="Body Text 3 Char"/>
    <w:basedOn w:val="DefaultParagraphFont"/>
    <w:link w:val="BodyText3"/>
    <w:uiPriority w:val="98"/>
    <w:semiHidden/>
    <w:rsid w:val="00B12EF5"/>
    <w:rPr>
      <w:rFonts w:asciiTheme="minorHAnsi" w:eastAsiaTheme="minorEastAsia" w:hAnsiTheme="minorHAnsi" w:cstheme="minorBidi"/>
      <w:sz w:val="16"/>
      <w:szCs w:val="22"/>
    </w:rPr>
  </w:style>
  <w:style w:type="paragraph" w:styleId="BodyTextFirstIndent">
    <w:name w:val="Body Text First Indent"/>
    <w:basedOn w:val="BodyText"/>
    <w:link w:val="BodyTextFirstIndentChar"/>
    <w:uiPriority w:val="98"/>
    <w:semiHidden/>
    <w:rsid w:val="00B12EF5"/>
    <w:pPr>
      <w:spacing w:after="0"/>
      <w:ind w:firstLine="360"/>
    </w:pPr>
  </w:style>
  <w:style w:type="character" w:customStyle="1" w:styleId="BodyTextFirstIndentChar">
    <w:name w:val="Body Text First Indent Char"/>
    <w:basedOn w:val="BodyTextChar"/>
    <w:link w:val="BodyTextFirstIndent"/>
    <w:uiPriority w:val="98"/>
    <w:semiHidden/>
    <w:rsid w:val="00B12EF5"/>
    <w:rPr>
      <w:rFonts w:asciiTheme="minorHAnsi" w:eastAsiaTheme="minorEastAsia" w:hAnsiTheme="minorHAnsi" w:cstheme="minorBidi"/>
      <w:szCs w:val="24"/>
    </w:rPr>
  </w:style>
  <w:style w:type="paragraph" w:styleId="BodyTextIndent">
    <w:name w:val="Body Text Indent"/>
    <w:basedOn w:val="Normal"/>
    <w:link w:val="BodyTextIndentChar"/>
    <w:uiPriority w:val="98"/>
    <w:semiHidden/>
    <w:rsid w:val="00B12EF5"/>
    <w:pPr>
      <w:spacing w:after="120"/>
      <w:ind w:left="283"/>
    </w:pPr>
  </w:style>
  <w:style w:type="character" w:customStyle="1" w:styleId="BodyTextIndentChar">
    <w:name w:val="Body Text Indent Char"/>
    <w:basedOn w:val="DefaultParagraphFont"/>
    <w:link w:val="BodyTextIndent"/>
    <w:uiPriority w:val="98"/>
    <w:semiHidden/>
    <w:rsid w:val="00B12EF5"/>
    <w:rPr>
      <w:rFonts w:asciiTheme="minorHAnsi" w:eastAsiaTheme="minorEastAsia" w:hAnsiTheme="minorHAnsi" w:cstheme="minorBidi"/>
      <w:szCs w:val="24"/>
    </w:rPr>
  </w:style>
  <w:style w:type="paragraph" w:styleId="BodyTextFirstIndent2">
    <w:name w:val="Body Text First Indent 2"/>
    <w:basedOn w:val="BodyTextIndent"/>
    <w:link w:val="BodyTextFirstIndent2Char"/>
    <w:uiPriority w:val="98"/>
    <w:semiHidden/>
    <w:rsid w:val="00B12EF5"/>
    <w:pPr>
      <w:spacing w:after="0"/>
      <w:ind w:left="360" w:firstLine="360"/>
    </w:pPr>
  </w:style>
  <w:style w:type="character" w:customStyle="1" w:styleId="BodyTextFirstIndent2Char">
    <w:name w:val="Body Text First Indent 2 Char"/>
    <w:basedOn w:val="BodyTextIndentChar"/>
    <w:link w:val="BodyTextFirstIndent2"/>
    <w:uiPriority w:val="98"/>
    <w:semiHidden/>
    <w:rsid w:val="00B12EF5"/>
    <w:rPr>
      <w:rFonts w:asciiTheme="minorHAnsi" w:eastAsiaTheme="minorEastAsia" w:hAnsiTheme="minorHAnsi" w:cstheme="minorBidi"/>
      <w:szCs w:val="24"/>
    </w:rPr>
  </w:style>
  <w:style w:type="paragraph" w:styleId="BodyTextIndent2">
    <w:name w:val="Body Text Indent 2"/>
    <w:basedOn w:val="Normal"/>
    <w:link w:val="BodyTextIndent2Char"/>
    <w:uiPriority w:val="98"/>
    <w:semiHidden/>
    <w:rsid w:val="00B12EF5"/>
    <w:pPr>
      <w:spacing w:after="120" w:line="480" w:lineRule="auto"/>
      <w:ind w:left="283"/>
    </w:pPr>
  </w:style>
  <w:style w:type="character" w:customStyle="1" w:styleId="BodyTextIndent2Char">
    <w:name w:val="Body Text Indent 2 Char"/>
    <w:basedOn w:val="DefaultParagraphFont"/>
    <w:link w:val="BodyTextIndent2"/>
    <w:uiPriority w:val="98"/>
    <w:semiHidden/>
    <w:rsid w:val="00B12EF5"/>
    <w:rPr>
      <w:rFonts w:asciiTheme="minorHAnsi" w:eastAsiaTheme="minorEastAsia" w:hAnsiTheme="minorHAnsi" w:cstheme="minorBidi"/>
      <w:szCs w:val="24"/>
    </w:rPr>
  </w:style>
  <w:style w:type="paragraph" w:styleId="BodyTextIndent3">
    <w:name w:val="Body Text Indent 3"/>
    <w:basedOn w:val="Normal"/>
    <w:link w:val="BodyTextIndent3Char"/>
    <w:uiPriority w:val="98"/>
    <w:semiHidden/>
    <w:rsid w:val="00B12EF5"/>
    <w:pPr>
      <w:spacing w:after="120"/>
      <w:ind w:left="283"/>
    </w:pPr>
    <w:rPr>
      <w:sz w:val="16"/>
      <w:szCs w:val="22"/>
    </w:rPr>
  </w:style>
  <w:style w:type="character" w:customStyle="1" w:styleId="BodyTextIndent3Char">
    <w:name w:val="Body Text Indent 3 Char"/>
    <w:basedOn w:val="DefaultParagraphFont"/>
    <w:link w:val="BodyTextIndent3"/>
    <w:uiPriority w:val="98"/>
    <w:semiHidden/>
    <w:rsid w:val="00B12EF5"/>
    <w:rPr>
      <w:rFonts w:asciiTheme="minorHAnsi" w:eastAsiaTheme="minorEastAsia" w:hAnsiTheme="minorHAnsi" w:cstheme="minorBidi"/>
      <w:sz w:val="16"/>
      <w:szCs w:val="22"/>
    </w:rPr>
  </w:style>
  <w:style w:type="character" w:styleId="BookTitle">
    <w:name w:val="Book Title"/>
    <w:basedOn w:val="DefaultParagraphFont"/>
    <w:uiPriority w:val="98"/>
    <w:semiHidden/>
    <w:rsid w:val="00B12EF5"/>
    <w:rPr>
      <w:rFonts w:asciiTheme="minorHAnsi" w:eastAsiaTheme="minorEastAsia" w:hAnsiTheme="minorHAnsi" w:cstheme="minorBidi"/>
      <w:b/>
      <w:bCs/>
      <w:smallCaps/>
      <w:spacing w:val="5"/>
      <w:szCs w:val="24"/>
    </w:rPr>
  </w:style>
  <w:style w:type="paragraph" w:styleId="Caption">
    <w:name w:val="caption"/>
    <w:basedOn w:val="Normal"/>
    <w:next w:val="Normal"/>
    <w:uiPriority w:val="98"/>
    <w:semiHidden/>
    <w:rsid w:val="00B12EF5"/>
    <w:pPr>
      <w:spacing w:after="200" w:line="240" w:lineRule="auto"/>
    </w:pPr>
    <w:rPr>
      <w:b/>
      <w:bCs/>
      <w:color w:val="DDDDDD" w:themeColor="accent1"/>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B12EF5"/>
    <w:rPr>
      <w:rFonts w:asciiTheme="minorHAnsi" w:eastAsiaTheme="minorEastAsia" w:hAnsiTheme="minorHAnsi" w:cstheme="minorBidi"/>
      <w:szCs w:val="24"/>
    </w:rPr>
  </w:style>
  <w:style w:type="table" w:styleId="ColorfulGrid">
    <w:name w:val="Colorful Grid"/>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F8F8F8" w:themeFill="accent1" w:themeFillTint="33"/>
    </w:tcPr>
    <w:tblStylePr w:type="firstRow">
      <w:rPr>
        <w:b/>
        <w:bCs/>
      </w:rPr>
      <w:tblPr/>
      <w:tcPr>
        <w:shd w:val="clear" w:color="auto" w:fill="F1F1F1" w:themeFill="accent1" w:themeFillTint="66"/>
      </w:tcPr>
    </w:tblStylePr>
    <w:tblStylePr w:type="lastRow">
      <w:rPr>
        <w:b/>
        <w:bCs/>
        <w:color w:val="000000" w:themeColor="text1"/>
      </w:rPr>
      <w:tblPr/>
      <w:tcPr>
        <w:shd w:val="clear" w:color="auto" w:fill="F1F1F1" w:themeFill="accent1" w:themeFillTint="66"/>
      </w:tcPr>
    </w:tblStylePr>
    <w:tblStylePr w:type="firstCol">
      <w:rPr>
        <w:color w:val="FFFFFF" w:themeColor="background1"/>
      </w:rPr>
      <w:tblPr/>
      <w:tcPr>
        <w:shd w:val="clear" w:color="auto" w:fill="A5A5A5" w:themeFill="accent1" w:themeFillShade="BF"/>
      </w:tcPr>
    </w:tblStylePr>
    <w:tblStylePr w:type="lastCol">
      <w:rPr>
        <w:color w:val="FFFFFF" w:themeColor="background1"/>
      </w:rPr>
      <w:tblPr/>
      <w:tcPr>
        <w:shd w:val="clear" w:color="auto" w:fill="A5A5A5" w:themeFill="accent1" w:themeFillShade="BF"/>
      </w:tc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ColorfulGrid-Accent2">
    <w:name w:val="Colorful Grid Accent 2"/>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EFEFEF" w:themeFill="accent2" w:themeFillTint="33"/>
    </w:tcPr>
    <w:tblStylePr w:type="firstRow">
      <w:rPr>
        <w:b/>
        <w:bCs/>
      </w:rPr>
      <w:tblPr/>
      <w:tcPr>
        <w:shd w:val="clear" w:color="auto" w:fill="E0E0E0" w:themeFill="accent2" w:themeFillTint="66"/>
      </w:tcPr>
    </w:tblStylePr>
    <w:tblStylePr w:type="lastRow">
      <w:rPr>
        <w:b/>
        <w:bCs/>
        <w:color w:val="000000" w:themeColor="text1"/>
      </w:rPr>
      <w:tblPr/>
      <w:tcPr>
        <w:shd w:val="clear" w:color="auto" w:fill="E0E0E0" w:themeFill="accent2" w:themeFillTint="66"/>
      </w:tcPr>
    </w:tblStylePr>
    <w:tblStylePr w:type="firstCol">
      <w:rPr>
        <w:color w:val="FFFFFF" w:themeColor="background1"/>
      </w:rPr>
      <w:tblPr/>
      <w:tcPr>
        <w:shd w:val="clear" w:color="auto" w:fill="858585" w:themeFill="accent2" w:themeFillShade="BF"/>
      </w:tcPr>
    </w:tblStylePr>
    <w:tblStylePr w:type="lastCol">
      <w:rPr>
        <w:color w:val="FFFFFF" w:themeColor="background1"/>
      </w:rPr>
      <w:tblPr/>
      <w:tcPr>
        <w:shd w:val="clear" w:color="auto" w:fill="858585" w:themeFill="accent2" w:themeFillShade="BF"/>
      </w:tc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ColorfulGrid-Accent3">
    <w:name w:val="Colorful Grid Accent 3"/>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EAEAEA" w:themeFill="accent3" w:themeFillTint="33"/>
    </w:tcPr>
    <w:tblStylePr w:type="firstRow">
      <w:rPr>
        <w:b/>
        <w:bCs/>
      </w:rPr>
      <w:tblPr/>
      <w:tcPr>
        <w:shd w:val="clear" w:color="auto" w:fill="D5D5D5" w:themeFill="accent3" w:themeFillTint="66"/>
      </w:tcPr>
    </w:tblStylePr>
    <w:tblStylePr w:type="lastRow">
      <w:rPr>
        <w:b/>
        <w:bCs/>
        <w:color w:val="000000" w:themeColor="text1"/>
      </w:rPr>
      <w:tblPr/>
      <w:tcPr>
        <w:shd w:val="clear" w:color="auto" w:fill="D5D5D5" w:themeFill="accent3" w:themeFillTint="66"/>
      </w:tcPr>
    </w:tblStylePr>
    <w:tblStylePr w:type="firstCol">
      <w:rPr>
        <w:color w:val="FFFFFF" w:themeColor="background1"/>
      </w:rPr>
      <w:tblPr/>
      <w:tcPr>
        <w:shd w:val="clear" w:color="auto" w:fill="707070" w:themeFill="accent3" w:themeFillShade="BF"/>
      </w:tcPr>
    </w:tblStylePr>
    <w:tblStylePr w:type="lastCol">
      <w:rPr>
        <w:color w:val="FFFFFF" w:themeColor="background1"/>
      </w:rPr>
      <w:tblPr/>
      <w:tcPr>
        <w:shd w:val="clear" w:color="auto" w:fill="707070" w:themeFill="accent3" w:themeFillShade="BF"/>
      </w:tc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ColorfulGrid-Accent4">
    <w:name w:val="Colorful Grid Accent 4"/>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E5E5E5" w:themeFill="accent4" w:themeFillTint="33"/>
    </w:tcPr>
    <w:tblStylePr w:type="firstRow">
      <w:rPr>
        <w:b/>
        <w:bCs/>
      </w:rPr>
      <w:tblPr/>
      <w:tcPr>
        <w:shd w:val="clear" w:color="auto" w:fill="CCCCCC" w:themeFill="accent4" w:themeFillTint="66"/>
      </w:tcPr>
    </w:tblStylePr>
    <w:tblStylePr w:type="lastRow">
      <w:rPr>
        <w:b/>
        <w:bCs/>
        <w:color w:val="000000" w:themeColor="text1"/>
      </w:rPr>
      <w:tblPr/>
      <w:tcPr>
        <w:shd w:val="clear" w:color="auto" w:fill="CCCCCC" w:themeFill="accent4" w:themeFillTint="66"/>
      </w:tcPr>
    </w:tblStylePr>
    <w:tblStylePr w:type="firstCol">
      <w:rPr>
        <w:color w:val="FFFFFF" w:themeColor="background1"/>
      </w:rPr>
      <w:tblPr/>
      <w:tcPr>
        <w:shd w:val="clear" w:color="auto" w:fill="5F5F5F" w:themeFill="accent4" w:themeFillShade="BF"/>
      </w:tcPr>
    </w:tblStylePr>
    <w:tblStylePr w:type="lastCol">
      <w:rPr>
        <w:color w:val="FFFFFF" w:themeColor="background1"/>
      </w:rPr>
      <w:tblPr/>
      <w:tcPr>
        <w:shd w:val="clear" w:color="auto" w:fill="5F5F5F" w:themeFill="accent4" w:themeFillShade="BF"/>
      </w:tc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ColorfulGrid-Accent5">
    <w:name w:val="Colorful Grid Accent 5"/>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FFFFFF" w:themeColor="background1"/>
      </w:rPr>
      <w:tblPr/>
      <w:tcPr>
        <w:shd w:val="clear" w:color="auto" w:fill="474747" w:themeFill="accent5" w:themeFillShade="BF"/>
      </w:tcPr>
    </w:tblStylePr>
    <w:tblStylePr w:type="lastCol">
      <w:rPr>
        <w:color w:val="FFFFFF"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FFFFFF" w:themeColor="background1"/>
      </w:rPr>
      <w:tblPr/>
      <w:tcPr>
        <w:shd w:val="clear" w:color="auto" w:fill="393939" w:themeFill="accent6" w:themeFillShade="BF"/>
      </w:tcPr>
    </w:tblStylePr>
    <w:tblStylePr w:type="lastCol">
      <w:rPr>
        <w:color w:val="FFFFFF"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8"/>
    <w:semiHidden/>
    <w:rsid w:val="00B12EF5"/>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rPr>
      <w:color w:val="000000" w:themeColor="text1"/>
    </w:rPr>
    <w:tblPr>
      <w:tblStyleRowBandSize w:val="1"/>
      <w:tblStyleColBandSize w:val="1"/>
    </w:tblPr>
    <w:tcPr>
      <w:shd w:val="clear" w:color="auto" w:fill="FBFBFB" w:themeFill="accen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F6F6" w:themeFill="accent1" w:themeFillTint="3F"/>
      </w:tcPr>
    </w:tblStylePr>
    <w:tblStylePr w:type="band1Horz">
      <w:tblPr/>
      <w:tcPr>
        <w:shd w:val="clear" w:color="auto" w:fill="F8F8F8" w:themeFill="accent1" w:themeFillTint="33"/>
      </w:tcPr>
    </w:tblStylePr>
  </w:style>
  <w:style w:type="table" w:styleId="ColorfulList-Accent2">
    <w:name w:val="Colorful List Accent 2"/>
    <w:basedOn w:val="TableNormal"/>
    <w:uiPriority w:val="98"/>
    <w:semiHidden/>
    <w:rsid w:val="00B12EF5"/>
    <w:rPr>
      <w:color w:val="000000" w:themeColor="text1"/>
    </w:rPr>
    <w:tblPr>
      <w:tblStyleRowBandSize w:val="1"/>
      <w:tblStyleColBandSize w:val="1"/>
    </w:tblPr>
    <w:tcPr>
      <w:shd w:val="clear" w:color="auto" w:fill="F7F7F7" w:themeFill="accent2"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EBEB" w:themeFill="accent2" w:themeFillTint="3F"/>
      </w:tcPr>
    </w:tblStylePr>
    <w:tblStylePr w:type="band1Horz">
      <w:tblPr/>
      <w:tcPr>
        <w:shd w:val="clear" w:color="auto" w:fill="EFEFEF" w:themeFill="accent2" w:themeFillTint="33"/>
      </w:tcPr>
    </w:tblStylePr>
  </w:style>
  <w:style w:type="table" w:styleId="ColorfulList-Accent3">
    <w:name w:val="Colorful List Accent 3"/>
    <w:basedOn w:val="TableNormal"/>
    <w:uiPriority w:val="98"/>
    <w:semiHidden/>
    <w:rsid w:val="00B12EF5"/>
    <w:rPr>
      <w:color w:val="000000" w:themeColor="text1"/>
    </w:rPr>
    <w:tblPr>
      <w:tblStyleRowBandSize w:val="1"/>
      <w:tblStyleColBandSize w:val="1"/>
    </w:tblPr>
    <w:tcPr>
      <w:shd w:val="clear" w:color="auto" w:fill="F4F4F4" w:themeFill="accent3" w:themeFillTint="19"/>
    </w:tcPr>
    <w:tblStylePr w:type="firstRow">
      <w:rPr>
        <w:b/>
        <w:bCs/>
        <w:color w:val="FFFFFF" w:themeColor="background1"/>
      </w:rPr>
      <w:tblPr/>
      <w:tcPr>
        <w:tcBorders>
          <w:bottom w:val="single" w:sz="12" w:space="0" w:color="FFFFFF" w:themeColor="background1"/>
        </w:tcBorders>
        <w:shd w:val="clear" w:color="auto" w:fill="666666" w:themeFill="accent4" w:themeFillShade="CC"/>
      </w:tcPr>
    </w:tblStylePr>
    <w:tblStylePr w:type="lastRow">
      <w:rPr>
        <w:b/>
        <w:bCs/>
        <w:color w:val="666666"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3" w:themeFillTint="3F"/>
      </w:tcPr>
    </w:tblStylePr>
    <w:tblStylePr w:type="band1Horz">
      <w:tblPr/>
      <w:tcPr>
        <w:shd w:val="clear" w:color="auto" w:fill="EAEAEA" w:themeFill="accent3" w:themeFillTint="33"/>
      </w:tcPr>
    </w:tblStylePr>
  </w:style>
  <w:style w:type="table" w:styleId="ColorfulList-Accent4">
    <w:name w:val="Colorful List Accent 4"/>
    <w:basedOn w:val="TableNormal"/>
    <w:uiPriority w:val="98"/>
    <w:semiHidden/>
    <w:rsid w:val="00B12EF5"/>
    <w:rPr>
      <w:color w:val="000000" w:themeColor="text1"/>
    </w:rPr>
    <w:tblPr>
      <w:tblStyleRowBandSize w:val="1"/>
      <w:tblStyleColBandSize w:val="1"/>
    </w:tblPr>
    <w:tcPr>
      <w:shd w:val="clear" w:color="auto" w:fill="F2F2F2" w:themeFill="accent4" w:themeFillTint="19"/>
    </w:tcPr>
    <w:tblStylePr w:type="firstRow">
      <w:rPr>
        <w:b/>
        <w:bCs/>
        <w:color w:val="FFFFFF" w:themeColor="background1"/>
      </w:rPr>
      <w:tblPr/>
      <w:tcPr>
        <w:tcBorders>
          <w:bottom w:val="single" w:sz="12" w:space="0" w:color="FFFFFF" w:themeColor="background1"/>
        </w:tcBorders>
        <w:shd w:val="clear" w:color="auto" w:fill="787878" w:themeFill="accent3" w:themeFillShade="CC"/>
      </w:tcPr>
    </w:tblStylePr>
    <w:tblStylePr w:type="lastRow">
      <w:rPr>
        <w:b/>
        <w:bCs/>
        <w:color w:val="787878"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accent4" w:themeFillTint="3F"/>
      </w:tcPr>
    </w:tblStylePr>
    <w:tblStylePr w:type="band1Horz">
      <w:tblPr/>
      <w:tcPr>
        <w:shd w:val="clear" w:color="auto" w:fill="E5E5E5" w:themeFill="accent4" w:themeFillTint="33"/>
      </w:tcPr>
    </w:tblStylePr>
  </w:style>
  <w:style w:type="table" w:styleId="ColorfulList-Accent5">
    <w:name w:val="Colorful List Accent 5"/>
    <w:basedOn w:val="TableNormal"/>
    <w:uiPriority w:val="98"/>
    <w:semiHidden/>
    <w:rsid w:val="00B12EF5"/>
    <w:rPr>
      <w:color w:val="000000" w:themeColor="text1"/>
    </w:rPr>
    <w:tblPr>
      <w:tblStyleRowBandSize w:val="1"/>
      <w:tblStyleColBandSize w:val="1"/>
    </w:tblPr>
    <w:tcPr>
      <w:shd w:val="clear" w:color="auto" w:fill="EFEFEF" w:themeFill="accent5" w:themeFillTint="19"/>
    </w:tcPr>
    <w:tblStylePr w:type="firstRow">
      <w:rPr>
        <w:b/>
        <w:bCs/>
        <w:color w:val="FFFFFF" w:themeColor="background1"/>
      </w:rPr>
      <w:tblPr/>
      <w:tcPr>
        <w:tcBorders>
          <w:bottom w:val="single" w:sz="12" w:space="0" w:color="FFFFFF"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8"/>
    <w:semiHidden/>
    <w:rsid w:val="00B12EF5"/>
    <w:rPr>
      <w:color w:val="000000" w:themeColor="text1"/>
    </w:rPr>
    <w:tblPr>
      <w:tblStyleRowBandSize w:val="1"/>
      <w:tblStyleColBandSize w:val="1"/>
    </w:tblPr>
    <w:tcPr>
      <w:shd w:val="clear" w:color="auto" w:fill="EDEDED" w:themeFill="accent6" w:themeFillTint="19"/>
    </w:tcPr>
    <w:tblStylePr w:type="firstRow">
      <w:rPr>
        <w:b/>
        <w:bCs/>
        <w:color w:val="FFFFFF" w:themeColor="background1"/>
      </w:rPr>
      <w:tblPr/>
      <w:tcPr>
        <w:tcBorders>
          <w:bottom w:val="single" w:sz="12" w:space="0" w:color="FFFFFF"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8"/>
    <w:semiHidden/>
    <w:rsid w:val="00B12EF5"/>
    <w:rPr>
      <w:color w:val="000000" w:themeColor="text1"/>
    </w:rPr>
    <w:tblPr>
      <w:tblStyleRowBandSize w:val="1"/>
      <w:tblStyleColBandSize w:val="1"/>
      <w:tblBorders>
        <w:top w:val="single" w:sz="24" w:space="0" w:color="B2B2B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rPr>
      <w:color w:val="000000" w:themeColor="text1"/>
    </w:rPr>
    <w:tblPr>
      <w:tblStyleRowBandSize w:val="1"/>
      <w:tblStyleColBandSize w:val="1"/>
      <w:tblBorders>
        <w:top w:val="single" w:sz="24" w:space="0" w:color="B2B2B2" w:themeColor="accent2"/>
        <w:left w:val="single" w:sz="4" w:space="0" w:color="DDDDDD" w:themeColor="accent1"/>
        <w:bottom w:val="single" w:sz="4" w:space="0" w:color="DDDDDD" w:themeColor="accent1"/>
        <w:right w:val="single" w:sz="4" w:space="0" w:color="DDDDDD" w:themeColor="accent1"/>
        <w:insideH w:val="single" w:sz="4" w:space="0" w:color="FFFFFF" w:themeColor="background1"/>
        <w:insideV w:val="single" w:sz="4" w:space="0" w:color="FFFFFF" w:themeColor="background1"/>
      </w:tblBorders>
    </w:tblPr>
    <w:tcPr>
      <w:shd w:val="clear" w:color="auto" w:fill="FBFBFB" w:themeFill="accen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48484" w:themeFill="accent1" w:themeFillShade="99"/>
      </w:tcPr>
    </w:tblStylePr>
    <w:tblStylePr w:type="firstCol">
      <w:rPr>
        <w:color w:val="FFFFFF" w:themeColor="background1"/>
      </w:rPr>
      <w:tblPr/>
      <w:tcPr>
        <w:tcBorders>
          <w:top w:val="nil"/>
          <w:left w:val="nil"/>
          <w:bottom w:val="nil"/>
          <w:right w:val="nil"/>
          <w:insideH w:val="single" w:sz="4" w:space="0" w:color="848484" w:themeColor="accent1" w:themeShade="99"/>
          <w:insideV w:val="nil"/>
        </w:tcBorders>
        <w:shd w:val="clear" w:color="auto" w:fill="84848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848484" w:themeFill="accent1" w:themeFillShade="99"/>
      </w:tcPr>
    </w:tblStylePr>
    <w:tblStylePr w:type="band1Vert">
      <w:tblPr/>
      <w:tcPr>
        <w:shd w:val="clear" w:color="auto" w:fill="F1F1F1" w:themeFill="accent1" w:themeFillTint="66"/>
      </w:tcPr>
    </w:tblStylePr>
    <w:tblStylePr w:type="band1Horz">
      <w:tblPr/>
      <w:tcPr>
        <w:shd w:val="clear" w:color="auto" w:fill="EEEEE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rPr>
      <w:color w:val="000000" w:themeColor="text1"/>
    </w:rPr>
    <w:tblPr>
      <w:tblStyleRowBandSize w:val="1"/>
      <w:tblStyleColBandSize w:val="1"/>
      <w:tblBorders>
        <w:top w:val="single" w:sz="24" w:space="0" w:color="B2B2B2" w:themeColor="accent2"/>
        <w:left w:val="single" w:sz="4" w:space="0" w:color="B2B2B2" w:themeColor="accent2"/>
        <w:bottom w:val="single" w:sz="4" w:space="0" w:color="B2B2B2" w:themeColor="accent2"/>
        <w:right w:val="single" w:sz="4" w:space="0" w:color="B2B2B2" w:themeColor="accent2"/>
        <w:insideH w:val="single" w:sz="4" w:space="0" w:color="FFFFFF" w:themeColor="background1"/>
        <w:insideV w:val="single" w:sz="4" w:space="0" w:color="FFFFFF" w:themeColor="background1"/>
      </w:tblBorders>
    </w:tblPr>
    <w:tcPr>
      <w:shd w:val="clear" w:color="auto" w:fill="F7F7F7" w:themeFill="accent2"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A6A6A" w:themeFill="accent2" w:themeFillShade="99"/>
      </w:tcPr>
    </w:tblStylePr>
    <w:tblStylePr w:type="firstCol">
      <w:rPr>
        <w:color w:val="FFFFFF" w:themeColor="background1"/>
      </w:rPr>
      <w:tblPr/>
      <w:tcPr>
        <w:tcBorders>
          <w:top w:val="nil"/>
          <w:left w:val="nil"/>
          <w:bottom w:val="nil"/>
          <w:right w:val="nil"/>
          <w:insideH w:val="single" w:sz="4" w:space="0" w:color="6A6A6A" w:themeColor="accent2" w:themeShade="99"/>
          <w:insideV w:val="nil"/>
        </w:tcBorders>
        <w:shd w:val="clear" w:color="auto" w:fill="6A6A6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A6A6A" w:themeFill="accent2" w:themeFillShade="99"/>
      </w:tcPr>
    </w:tblStylePr>
    <w:tblStylePr w:type="band1Vert">
      <w:tblPr/>
      <w:tcPr>
        <w:shd w:val="clear" w:color="auto" w:fill="E0E0E0" w:themeFill="accent2" w:themeFillTint="66"/>
      </w:tcPr>
    </w:tblStylePr>
    <w:tblStylePr w:type="band1Horz">
      <w:tblPr/>
      <w:tcPr>
        <w:shd w:val="clear" w:color="auto" w:fill="D8D8D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rPr>
      <w:color w:val="000000" w:themeColor="text1"/>
    </w:rPr>
    <w:tblPr>
      <w:tblStyleRowBandSize w:val="1"/>
      <w:tblStyleColBandSize w:val="1"/>
      <w:tblBorders>
        <w:top w:val="single" w:sz="24" w:space="0" w:color="808080" w:themeColor="accent4"/>
        <w:left w:val="single" w:sz="4" w:space="0" w:color="969696" w:themeColor="accent3"/>
        <w:bottom w:val="single" w:sz="4" w:space="0" w:color="969696" w:themeColor="accent3"/>
        <w:right w:val="single" w:sz="4" w:space="0" w:color="969696" w:themeColor="accent3"/>
        <w:insideH w:val="single" w:sz="4" w:space="0" w:color="FFFFFF" w:themeColor="background1"/>
        <w:insideV w:val="single" w:sz="4" w:space="0" w:color="FFFFFF" w:themeColor="background1"/>
      </w:tblBorders>
    </w:tblPr>
    <w:tcPr>
      <w:shd w:val="clear" w:color="auto" w:fill="F4F4F4" w:themeFill="accent3" w:themeFillTint="19"/>
    </w:tcPr>
    <w:tblStylePr w:type="firstRow">
      <w:rPr>
        <w:b/>
        <w:bCs/>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A5A5A" w:themeFill="accent3" w:themeFillShade="99"/>
      </w:tcPr>
    </w:tblStylePr>
    <w:tblStylePr w:type="firstCol">
      <w:rPr>
        <w:color w:val="FFFFFF" w:themeColor="background1"/>
      </w:rPr>
      <w:tblPr/>
      <w:tcPr>
        <w:tcBorders>
          <w:top w:val="nil"/>
          <w:left w:val="nil"/>
          <w:bottom w:val="nil"/>
          <w:right w:val="nil"/>
          <w:insideH w:val="single" w:sz="4" w:space="0" w:color="5A5A5A" w:themeColor="accent3" w:themeShade="99"/>
          <w:insideV w:val="nil"/>
        </w:tcBorders>
        <w:shd w:val="clear" w:color="auto" w:fill="5A5A5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A5A5A" w:themeFill="accent3" w:themeFillShade="99"/>
      </w:tcPr>
    </w:tblStylePr>
    <w:tblStylePr w:type="band1Vert">
      <w:tblPr/>
      <w:tcPr>
        <w:shd w:val="clear" w:color="auto" w:fill="D5D5D5" w:themeFill="accent3" w:themeFillTint="66"/>
      </w:tcPr>
    </w:tblStylePr>
    <w:tblStylePr w:type="band1Horz">
      <w:tblPr/>
      <w:tcPr>
        <w:shd w:val="clear" w:color="auto" w:fill="CACACA" w:themeFill="accent3" w:themeFillTint="7F"/>
      </w:tcPr>
    </w:tblStylePr>
  </w:style>
  <w:style w:type="table" w:styleId="ColorfulShading-Accent4">
    <w:name w:val="Colorful Shading Accent 4"/>
    <w:basedOn w:val="TableNormal"/>
    <w:uiPriority w:val="98"/>
    <w:semiHidden/>
    <w:rsid w:val="00B12EF5"/>
    <w:rPr>
      <w:color w:val="000000" w:themeColor="text1"/>
    </w:rPr>
    <w:tblPr>
      <w:tblStyleRowBandSize w:val="1"/>
      <w:tblStyleColBandSize w:val="1"/>
      <w:tblBorders>
        <w:top w:val="single" w:sz="24" w:space="0" w:color="969696" w:themeColor="accent3"/>
        <w:left w:val="single" w:sz="4" w:space="0" w:color="808080" w:themeColor="accent4"/>
        <w:bottom w:val="single" w:sz="4" w:space="0" w:color="808080" w:themeColor="accent4"/>
        <w:right w:val="single" w:sz="4" w:space="0" w:color="808080" w:themeColor="accent4"/>
        <w:insideH w:val="single" w:sz="4" w:space="0" w:color="FFFFFF" w:themeColor="background1"/>
        <w:insideV w:val="single" w:sz="4" w:space="0" w:color="FFFFFF" w:themeColor="background1"/>
      </w:tblBorders>
    </w:tblPr>
    <w:tcPr>
      <w:shd w:val="clear" w:color="auto" w:fill="F2F2F2" w:themeFill="accent4" w:themeFillTint="19"/>
    </w:tcPr>
    <w:tblStylePr w:type="firstRow">
      <w:rPr>
        <w:b/>
        <w:bCs/>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4C4C" w:themeFill="accent4" w:themeFillShade="99"/>
      </w:tcPr>
    </w:tblStylePr>
    <w:tblStylePr w:type="firstCol">
      <w:rPr>
        <w:color w:val="FFFFFF" w:themeColor="background1"/>
      </w:rPr>
      <w:tblPr/>
      <w:tcPr>
        <w:tcBorders>
          <w:top w:val="nil"/>
          <w:left w:val="nil"/>
          <w:bottom w:val="nil"/>
          <w:right w:val="nil"/>
          <w:insideH w:val="single" w:sz="4" w:space="0" w:color="4C4C4C" w:themeColor="accent4" w:themeShade="99"/>
          <w:insideV w:val="nil"/>
        </w:tcBorders>
        <w:shd w:val="clear" w:color="auto" w:fill="4C4C4C"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4C4C" w:themeFill="accent4" w:themeFillShade="99"/>
      </w:tcPr>
    </w:tblStylePr>
    <w:tblStylePr w:type="band1Vert">
      <w:tblPr/>
      <w:tcPr>
        <w:shd w:val="clear" w:color="auto" w:fill="CCCCCC" w:themeFill="accent4" w:themeFillTint="66"/>
      </w:tcPr>
    </w:tblStylePr>
    <w:tblStylePr w:type="band1Horz">
      <w:tblPr/>
      <w:tcPr>
        <w:shd w:val="clear" w:color="auto" w:fill="BFBFB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rPr>
      <w:color w:val="000000" w:themeColor="text1"/>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FFFFFF" w:themeColor="background1"/>
        <w:insideV w:val="single" w:sz="4" w:space="0" w:color="FFFFFF"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93939" w:themeFill="accent5" w:themeFillShade="99"/>
      </w:tcPr>
    </w:tblStylePr>
    <w:tblStylePr w:type="firstCol">
      <w:rPr>
        <w:color w:val="FFFFFF"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rPr>
      <w:color w:val="000000" w:themeColor="text1"/>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FFFFFF" w:themeColor="background1"/>
        <w:insideV w:val="single" w:sz="4" w:space="0" w:color="FFFFFF"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2E2E" w:themeFill="accent6" w:themeFillShade="99"/>
      </w:tcPr>
    </w:tblStylePr>
    <w:tblStylePr w:type="firstCol">
      <w:rPr>
        <w:color w:val="FFFFFF"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semiHidden/>
    <w:rsid w:val="00B12EF5"/>
    <w:pPr>
      <w:spacing w:line="240" w:lineRule="auto"/>
    </w:pPr>
    <w:rPr>
      <w:sz w:val="20"/>
      <w:szCs w:val="26"/>
    </w:rPr>
  </w:style>
  <w:style w:type="character" w:customStyle="1" w:styleId="CommentTextChar">
    <w:name w:val="Comment Text Char"/>
    <w:basedOn w:val="DefaultParagraphFont"/>
    <w:link w:val="CommentText"/>
    <w:uiPriority w:val="98"/>
    <w:semiHidden/>
    <w:rsid w:val="00B12EF5"/>
    <w:rPr>
      <w:rFonts w:asciiTheme="minorHAnsi" w:eastAsiaTheme="minorEastAsia" w:hAnsiTheme="minorHAnsi" w:cstheme="minorBidi"/>
      <w:sz w:val="20"/>
      <w:szCs w:val="26"/>
    </w:rPr>
  </w:style>
  <w:style w:type="paragraph" w:styleId="CommentSubject">
    <w:name w:val="annotation subject"/>
    <w:basedOn w:val="CommentText"/>
    <w:next w:val="CommentText"/>
    <w:link w:val="CommentSubjectChar"/>
    <w:uiPriority w:val="98"/>
    <w:semiHidden/>
    <w:rsid w:val="00B12EF5"/>
    <w:rPr>
      <w:b/>
      <w:bCs/>
    </w:rPr>
  </w:style>
  <w:style w:type="character" w:customStyle="1" w:styleId="CommentSubjectChar">
    <w:name w:val="Comment Subject Char"/>
    <w:basedOn w:val="CommentTextChar"/>
    <w:link w:val="CommentSubject"/>
    <w:uiPriority w:val="98"/>
    <w:semiHidden/>
    <w:rsid w:val="00B12EF5"/>
    <w:rPr>
      <w:rFonts w:asciiTheme="minorHAnsi" w:eastAsiaTheme="minorEastAsia" w:hAnsiTheme="minorHAnsi" w:cstheme="minorBidi"/>
      <w:b/>
      <w:bCs/>
      <w:sz w:val="20"/>
      <w:szCs w:val="26"/>
    </w:rPr>
  </w:style>
  <w:style w:type="table" w:styleId="DarkList">
    <w:name w:val="Dark List"/>
    <w:basedOn w:val="TableNormal"/>
    <w:uiPriority w:val="98"/>
    <w:semiHidden/>
    <w:rsid w:val="00B12EF5"/>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8"/>
    <w:semiHidden/>
    <w:rsid w:val="00B12EF5"/>
    <w:rPr>
      <w:color w:val="FFFFFF" w:themeColor="background1"/>
    </w:rPr>
    <w:tblPr>
      <w:tblStyleRowBandSize w:val="1"/>
      <w:tblStyleColBandSize w:val="1"/>
    </w:tblPr>
    <w:tcPr>
      <w:shd w:val="clear" w:color="auto" w:fill="DDDDD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E6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A5A5A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A5A5A5" w:themeFill="accent1" w:themeFillShade="BF"/>
      </w:tcPr>
    </w:tblStylePr>
    <w:tblStylePr w:type="band1Vert">
      <w:tblPr/>
      <w:tcPr>
        <w:tcBorders>
          <w:top w:val="nil"/>
          <w:left w:val="nil"/>
          <w:bottom w:val="nil"/>
          <w:right w:val="nil"/>
          <w:insideH w:val="nil"/>
          <w:insideV w:val="nil"/>
        </w:tcBorders>
        <w:shd w:val="clear" w:color="auto" w:fill="A5A5A5" w:themeFill="accent1" w:themeFillShade="BF"/>
      </w:tcPr>
    </w:tblStylePr>
    <w:tblStylePr w:type="band1Horz">
      <w:tblPr/>
      <w:tcPr>
        <w:tcBorders>
          <w:top w:val="nil"/>
          <w:left w:val="nil"/>
          <w:bottom w:val="nil"/>
          <w:right w:val="nil"/>
          <w:insideH w:val="nil"/>
          <w:insideV w:val="nil"/>
        </w:tcBorders>
        <w:shd w:val="clear" w:color="auto" w:fill="A5A5A5" w:themeFill="accent1" w:themeFillShade="BF"/>
      </w:tcPr>
    </w:tblStylePr>
  </w:style>
  <w:style w:type="table" w:styleId="DarkList-Accent2">
    <w:name w:val="Dark List Accent 2"/>
    <w:basedOn w:val="TableNormal"/>
    <w:uiPriority w:val="98"/>
    <w:semiHidden/>
    <w:rsid w:val="00B12EF5"/>
    <w:rPr>
      <w:color w:val="FFFFFF" w:themeColor="background1"/>
    </w:rPr>
    <w:tblPr>
      <w:tblStyleRowBandSize w:val="1"/>
      <w:tblStyleColBandSize w:val="1"/>
    </w:tblPr>
    <w:tcPr>
      <w:shd w:val="clear" w:color="auto" w:fill="B2B2B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585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85858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858585" w:themeFill="accent2" w:themeFillShade="BF"/>
      </w:tcPr>
    </w:tblStylePr>
    <w:tblStylePr w:type="band1Vert">
      <w:tblPr/>
      <w:tcPr>
        <w:tcBorders>
          <w:top w:val="nil"/>
          <w:left w:val="nil"/>
          <w:bottom w:val="nil"/>
          <w:right w:val="nil"/>
          <w:insideH w:val="nil"/>
          <w:insideV w:val="nil"/>
        </w:tcBorders>
        <w:shd w:val="clear" w:color="auto" w:fill="858585" w:themeFill="accent2" w:themeFillShade="BF"/>
      </w:tcPr>
    </w:tblStylePr>
    <w:tblStylePr w:type="band1Horz">
      <w:tblPr/>
      <w:tcPr>
        <w:tcBorders>
          <w:top w:val="nil"/>
          <w:left w:val="nil"/>
          <w:bottom w:val="nil"/>
          <w:right w:val="nil"/>
          <w:insideH w:val="nil"/>
          <w:insideV w:val="nil"/>
        </w:tcBorders>
        <w:shd w:val="clear" w:color="auto" w:fill="858585" w:themeFill="accent2" w:themeFillShade="BF"/>
      </w:tcPr>
    </w:tblStylePr>
  </w:style>
  <w:style w:type="table" w:styleId="DarkList-Accent3">
    <w:name w:val="Dark List Accent 3"/>
    <w:basedOn w:val="TableNormal"/>
    <w:uiPriority w:val="98"/>
    <w:semiHidden/>
    <w:rsid w:val="00B12EF5"/>
    <w:rPr>
      <w:color w:val="FFFFFF" w:themeColor="background1"/>
    </w:rPr>
    <w:tblPr>
      <w:tblStyleRowBandSize w:val="1"/>
      <w:tblStyleColBandSize w:val="1"/>
    </w:tblPr>
    <w:tcPr>
      <w:shd w:val="clear" w:color="auto" w:fill="969696"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A4A4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070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07070" w:themeFill="accent3" w:themeFillShade="BF"/>
      </w:tcPr>
    </w:tblStylePr>
    <w:tblStylePr w:type="band1Vert">
      <w:tblPr/>
      <w:tcPr>
        <w:tcBorders>
          <w:top w:val="nil"/>
          <w:left w:val="nil"/>
          <w:bottom w:val="nil"/>
          <w:right w:val="nil"/>
          <w:insideH w:val="nil"/>
          <w:insideV w:val="nil"/>
        </w:tcBorders>
        <w:shd w:val="clear" w:color="auto" w:fill="707070" w:themeFill="accent3" w:themeFillShade="BF"/>
      </w:tcPr>
    </w:tblStylePr>
    <w:tblStylePr w:type="band1Horz">
      <w:tblPr/>
      <w:tcPr>
        <w:tcBorders>
          <w:top w:val="nil"/>
          <w:left w:val="nil"/>
          <w:bottom w:val="nil"/>
          <w:right w:val="nil"/>
          <w:insideH w:val="nil"/>
          <w:insideV w:val="nil"/>
        </w:tcBorders>
        <w:shd w:val="clear" w:color="auto" w:fill="707070" w:themeFill="accent3" w:themeFillShade="BF"/>
      </w:tcPr>
    </w:tblStylePr>
  </w:style>
  <w:style w:type="table" w:styleId="DarkList-Accent4">
    <w:name w:val="Dark List Accent 4"/>
    <w:basedOn w:val="TableNormal"/>
    <w:uiPriority w:val="98"/>
    <w:semiHidden/>
    <w:rsid w:val="00B12EF5"/>
    <w:rPr>
      <w:color w:val="FFFFFF" w:themeColor="background1"/>
    </w:rPr>
    <w:tblPr>
      <w:tblStyleRowBandSize w:val="1"/>
      <w:tblStyleColBandSize w:val="1"/>
    </w:tblPr>
    <w:tcPr>
      <w:shd w:val="clear" w:color="auto" w:fill="80808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F3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5F5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5F5F" w:themeFill="accent4" w:themeFillShade="BF"/>
      </w:tcPr>
    </w:tblStylePr>
    <w:tblStylePr w:type="band1Vert">
      <w:tblPr/>
      <w:tcPr>
        <w:tcBorders>
          <w:top w:val="nil"/>
          <w:left w:val="nil"/>
          <w:bottom w:val="nil"/>
          <w:right w:val="nil"/>
          <w:insideH w:val="nil"/>
          <w:insideV w:val="nil"/>
        </w:tcBorders>
        <w:shd w:val="clear" w:color="auto" w:fill="5F5F5F" w:themeFill="accent4" w:themeFillShade="BF"/>
      </w:tcPr>
    </w:tblStylePr>
    <w:tblStylePr w:type="band1Horz">
      <w:tblPr/>
      <w:tcPr>
        <w:tcBorders>
          <w:top w:val="nil"/>
          <w:left w:val="nil"/>
          <w:bottom w:val="nil"/>
          <w:right w:val="nil"/>
          <w:insideH w:val="nil"/>
          <w:insideV w:val="nil"/>
        </w:tcBorders>
        <w:shd w:val="clear" w:color="auto" w:fill="5F5F5F" w:themeFill="accent4" w:themeFillShade="BF"/>
      </w:tcPr>
    </w:tblStylePr>
  </w:style>
  <w:style w:type="table" w:styleId="DarkList-Accent5">
    <w:name w:val="Dark List Accent 5"/>
    <w:basedOn w:val="TableNormal"/>
    <w:uiPriority w:val="98"/>
    <w:semiHidden/>
    <w:rsid w:val="00B12EF5"/>
    <w:rPr>
      <w:color w:val="FFFFFF" w:themeColor="background1"/>
    </w:rPr>
    <w:tblPr>
      <w:tblStyleRowBandSize w:val="1"/>
      <w:tblStyleColBandSize w:val="1"/>
    </w:tblPr>
    <w:tcPr>
      <w:shd w:val="clear" w:color="auto" w:fill="5F5F5F"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7474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8"/>
    <w:semiHidden/>
    <w:rsid w:val="00B12EF5"/>
    <w:rPr>
      <w:color w:val="FFFFFF" w:themeColor="background1"/>
    </w:rPr>
    <w:tblPr>
      <w:tblStyleRowBandSize w:val="1"/>
      <w:tblStyleColBandSize w:val="1"/>
    </w:tblPr>
    <w:tcPr>
      <w:shd w:val="clear" w:color="auto" w:fill="4D4D4D"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93939"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B12EF5"/>
    <w:rPr>
      <w:rFonts w:asciiTheme="minorHAnsi" w:eastAsiaTheme="minorEastAsia" w:hAnsiTheme="minorHAnsi" w:cstheme="minorBidi"/>
      <w:szCs w:val="24"/>
    </w:rPr>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B12EF5"/>
    <w:rPr>
      <w:rFonts w:asciiTheme="minorHAnsi" w:eastAsiaTheme="minorEastAsia" w:hAnsiTheme="minorHAnsi" w:cstheme="minorBidi"/>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B12EF5"/>
    <w:rPr>
      <w:rFonts w:asciiTheme="minorHAnsi" w:eastAsiaTheme="minorEastAsia" w:hAnsiTheme="minorHAnsi" w:cstheme="minorBidi"/>
      <w:szCs w:val="24"/>
    </w:rPr>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98"/>
    <w:rsid w:val="00B12EF5"/>
    <w:rPr>
      <w:rFonts w:asciiTheme="minorHAnsi" w:eastAsiaTheme="minorEastAsia" w:hAnsiTheme="minorHAnsi" w:cstheme="minorBidi"/>
      <w:sz w:val="14"/>
      <w:szCs w:val="20"/>
      <w:vertAlign w:val="superscript"/>
    </w:rPr>
  </w:style>
  <w:style w:type="paragraph" w:styleId="EndnoteText">
    <w:name w:val="endnote text"/>
    <w:basedOn w:val="FootnoteText"/>
    <w:link w:val="EndnoteTextChar"/>
    <w:uiPriority w:val="98"/>
    <w:rsid w:val="00B96EBF"/>
  </w:style>
  <w:style w:type="character" w:customStyle="1" w:styleId="EndnoteTextChar">
    <w:name w:val="Endnote Text Char"/>
    <w:basedOn w:val="DefaultParagraphFont"/>
    <w:link w:val="EndnoteText"/>
    <w:uiPriority w:val="98"/>
    <w:rsid w:val="00B96EBF"/>
    <w:rPr>
      <w:rFonts w:asciiTheme="minorHAnsi" w:eastAsiaTheme="minorEastAsia" w:hAnsiTheme="minorHAnsi" w:cstheme="minorBidi"/>
      <w:sz w:val="14"/>
      <w:szCs w:val="20"/>
      <w:lang w:eastAsia="zh-CN"/>
    </w:rPr>
  </w:style>
  <w:style w:type="paragraph" w:styleId="EnvelopeAddress">
    <w:name w:val="envelope address"/>
    <w:basedOn w:val="NormalAshurst"/>
    <w:uiPriority w:val="98"/>
    <w:semiHidden/>
    <w:rsid w:val="00881C1F"/>
    <w:pPr>
      <w:framePr w:w="7920" w:h="1980" w:hRule="exact" w:hSpace="180" w:wrap="auto" w:hAnchor="page" w:xAlign="center" w:yAlign="bottom"/>
      <w:spacing w:after="0"/>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8"/>
    <w:semiHidden/>
    <w:rsid w:val="00B12EF5"/>
    <w:rPr>
      <w:rFonts w:asciiTheme="minorHAnsi" w:eastAsiaTheme="minorEastAsia" w:hAnsiTheme="minorHAnsi" w:cstheme="minorBidi"/>
      <w:color w:val="919191" w:themeColor="followedHyperlink"/>
      <w:szCs w:val="24"/>
      <w:u w:val="single"/>
    </w:rPr>
  </w:style>
  <w:style w:type="paragraph" w:styleId="Footer">
    <w:name w:val="footer"/>
    <w:basedOn w:val="Normal"/>
    <w:link w:val="FooterChar"/>
    <w:uiPriority w:val="98"/>
    <w:rsid w:val="00DB2040"/>
    <w:pPr>
      <w:tabs>
        <w:tab w:val="center" w:pos="4513"/>
        <w:tab w:val="right" w:pos="9026"/>
      </w:tabs>
    </w:pPr>
    <w:rPr>
      <w:sz w:val="14"/>
      <w:szCs w:val="20"/>
    </w:rPr>
  </w:style>
  <w:style w:type="character" w:customStyle="1" w:styleId="FooterChar">
    <w:name w:val="Footer Char"/>
    <w:basedOn w:val="DefaultParagraphFont"/>
    <w:link w:val="Footer"/>
    <w:uiPriority w:val="98"/>
    <w:rsid w:val="00DB2040"/>
    <w:rPr>
      <w:sz w:val="14"/>
      <w:szCs w:val="20"/>
    </w:rPr>
  </w:style>
  <w:style w:type="paragraph" w:styleId="Header">
    <w:name w:val="header"/>
    <w:basedOn w:val="Normal"/>
    <w:link w:val="HeaderChar"/>
    <w:rsid w:val="00B12EF5"/>
    <w:pPr>
      <w:tabs>
        <w:tab w:val="center" w:pos="4513"/>
        <w:tab w:val="right" w:pos="9026"/>
      </w:tabs>
      <w:spacing w:line="240" w:lineRule="auto"/>
    </w:pPr>
  </w:style>
  <w:style w:type="character" w:customStyle="1" w:styleId="HeaderChar">
    <w:name w:val="Header Char"/>
    <w:basedOn w:val="DefaultParagraphFont"/>
    <w:link w:val="Header"/>
    <w:rsid w:val="00B12EF5"/>
    <w:rPr>
      <w:rFonts w:asciiTheme="minorHAnsi" w:eastAsiaTheme="minorEastAsia" w:hAnsiTheme="minorHAnsi" w:cstheme="minorBidi"/>
      <w:szCs w:val="24"/>
    </w:rPr>
  </w:style>
  <w:style w:type="character" w:styleId="HTMLAcronym">
    <w:name w:val="HTML Acronym"/>
    <w:basedOn w:val="DefaultParagraphFont"/>
    <w:uiPriority w:val="98"/>
    <w:semiHidden/>
    <w:rsid w:val="00B12EF5"/>
    <w:rPr>
      <w:rFonts w:asciiTheme="minorHAnsi" w:eastAsiaTheme="minorEastAsia" w:hAnsiTheme="minorHAnsi" w:cstheme="minorBidi"/>
      <w:szCs w:val="24"/>
    </w:rPr>
  </w:style>
  <w:style w:type="paragraph" w:styleId="HTMLAddress">
    <w:name w:val="HTML Address"/>
    <w:basedOn w:val="Normal"/>
    <w:link w:val="HTMLAddressChar"/>
    <w:uiPriority w:val="98"/>
    <w:semiHidden/>
    <w:rsid w:val="00B12EF5"/>
    <w:pPr>
      <w:spacing w:line="240" w:lineRule="auto"/>
    </w:pPr>
    <w:rPr>
      <w:i/>
      <w:iCs/>
    </w:rPr>
  </w:style>
  <w:style w:type="character" w:customStyle="1" w:styleId="HTMLAddressChar">
    <w:name w:val="HTML Address Char"/>
    <w:basedOn w:val="DefaultParagraphFont"/>
    <w:link w:val="HTMLAddress"/>
    <w:uiPriority w:val="98"/>
    <w:semiHidden/>
    <w:rsid w:val="00B12EF5"/>
    <w:rPr>
      <w:rFonts w:asciiTheme="minorHAnsi" w:eastAsiaTheme="minorEastAsia" w:hAnsiTheme="minorHAnsi" w:cstheme="minorBidi"/>
      <w:i/>
      <w:iCs/>
      <w:szCs w:val="24"/>
    </w:rPr>
  </w:style>
  <w:style w:type="character" w:styleId="HTMLCite">
    <w:name w:val="HTML Cite"/>
    <w:basedOn w:val="DefaultParagraphFont"/>
    <w:uiPriority w:val="98"/>
    <w:semiHidden/>
    <w:rsid w:val="00B12EF5"/>
    <w:rPr>
      <w:rFonts w:asciiTheme="minorHAnsi" w:eastAsiaTheme="minorEastAsia" w:hAnsiTheme="minorHAnsi" w:cstheme="minorBidi"/>
      <w:i/>
      <w:iCs/>
      <w:szCs w:val="24"/>
    </w:rPr>
  </w:style>
  <w:style w:type="character" w:styleId="HTMLCode">
    <w:name w:val="HTML Code"/>
    <w:basedOn w:val="DefaultParagraphFont"/>
    <w:uiPriority w:val="98"/>
    <w:semiHidden/>
    <w:rsid w:val="00B12EF5"/>
    <w:rPr>
      <w:rFonts w:asciiTheme="minorHAnsi" w:eastAsiaTheme="minorEastAsia" w:hAnsiTheme="minorHAnsi" w:cstheme="minorBidi"/>
      <w:sz w:val="20"/>
      <w:szCs w:val="26"/>
    </w:rPr>
  </w:style>
  <w:style w:type="character" w:styleId="HTMLDefinition">
    <w:name w:val="HTML Definition"/>
    <w:basedOn w:val="DefaultParagraphFont"/>
    <w:uiPriority w:val="98"/>
    <w:semiHidden/>
    <w:rsid w:val="00B12EF5"/>
    <w:rPr>
      <w:rFonts w:asciiTheme="minorHAnsi" w:eastAsiaTheme="minorEastAsia" w:hAnsiTheme="minorHAnsi" w:cstheme="minorBidi"/>
      <w:i/>
      <w:iCs/>
      <w:szCs w:val="24"/>
    </w:rPr>
  </w:style>
  <w:style w:type="character" w:styleId="HTMLKeyboard">
    <w:name w:val="HTML Keyboard"/>
    <w:basedOn w:val="DefaultParagraphFont"/>
    <w:uiPriority w:val="98"/>
    <w:semiHidden/>
    <w:rsid w:val="00B12EF5"/>
    <w:rPr>
      <w:rFonts w:asciiTheme="minorHAnsi" w:eastAsiaTheme="minorEastAsia" w:hAnsiTheme="minorHAnsi" w:cstheme="minorBidi"/>
      <w:sz w:val="20"/>
      <w:szCs w:val="26"/>
    </w:rPr>
  </w:style>
  <w:style w:type="paragraph" w:styleId="HTMLPreformatted">
    <w:name w:val="HTML Preformatted"/>
    <w:basedOn w:val="Normal"/>
    <w:link w:val="HTMLPreformattedChar"/>
    <w:uiPriority w:val="98"/>
    <w:semiHidden/>
    <w:rsid w:val="00B12EF5"/>
    <w:pPr>
      <w:spacing w:line="240" w:lineRule="auto"/>
    </w:pPr>
    <w:rPr>
      <w:sz w:val="20"/>
      <w:szCs w:val="26"/>
    </w:rPr>
  </w:style>
  <w:style w:type="character" w:customStyle="1" w:styleId="HTMLPreformattedChar">
    <w:name w:val="HTML Preformatted Char"/>
    <w:basedOn w:val="DefaultParagraphFont"/>
    <w:link w:val="HTMLPreformatted"/>
    <w:uiPriority w:val="98"/>
    <w:semiHidden/>
    <w:rsid w:val="00B12EF5"/>
    <w:rPr>
      <w:rFonts w:asciiTheme="minorHAnsi" w:eastAsiaTheme="minorEastAsia" w:hAnsiTheme="minorHAnsi" w:cstheme="minorBidi"/>
      <w:sz w:val="20"/>
      <w:szCs w:val="26"/>
    </w:rPr>
  </w:style>
  <w:style w:type="character" w:styleId="HTMLSample">
    <w:name w:val="HTML Sample"/>
    <w:basedOn w:val="DefaultParagraphFont"/>
    <w:uiPriority w:val="98"/>
    <w:semiHidden/>
    <w:rsid w:val="00B12EF5"/>
    <w:rPr>
      <w:rFonts w:asciiTheme="minorHAnsi" w:eastAsiaTheme="minorEastAsia" w:hAnsiTheme="minorHAnsi" w:cstheme="minorBidi"/>
      <w:sz w:val="24"/>
      <w:szCs w:val="30"/>
    </w:rPr>
  </w:style>
  <w:style w:type="character" w:styleId="HTMLTypewriter">
    <w:name w:val="HTML Typewriter"/>
    <w:basedOn w:val="DefaultParagraphFont"/>
    <w:uiPriority w:val="98"/>
    <w:semiHidden/>
    <w:rsid w:val="00B12EF5"/>
    <w:rPr>
      <w:rFonts w:asciiTheme="minorHAnsi" w:eastAsiaTheme="minorEastAsia" w:hAnsiTheme="minorHAnsi" w:cstheme="minorBidi"/>
      <w:sz w:val="20"/>
      <w:szCs w:val="26"/>
    </w:rPr>
  </w:style>
  <w:style w:type="character" w:styleId="HTMLVariable">
    <w:name w:val="HTML Variable"/>
    <w:basedOn w:val="DefaultParagraphFont"/>
    <w:uiPriority w:val="98"/>
    <w:semiHidden/>
    <w:rsid w:val="00B12EF5"/>
    <w:rPr>
      <w:rFonts w:asciiTheme="minorHAnsi" w:eastAsiaTheme="minorEastAsia" w:hAnsiTheme="minorHAnsi" w:cstheme="minorBidi"/>
      <w:i/>
      <w:iCs/>
      <w:szCs w:val="24"/>
    </w:rPr>
  </w:style>
  <w:style w:type="character" w:styleId="Hyperlink">
    <w:name w:val="Hyperlink"/>
    <w:basedOn w:val="DefaultParagraphFont"/>
    <w:uiPriority w:val="98"/>
    <w:semiHidden/>
    <w:rsid w:val="00B12EF5"/>
    <w:rPr>
      <w:rFonts w:asciiTheme="minorHAnsi" w:eastAsiaTheme="minorEastAsia" w:hAnsiTheme="minorHAnsi" w:cstheme="minorBidi"/>
      <w:color w:val="0000FF" w:themeColor="hyperlink"/>
      <w:szCs w:val="24"/>
      <w:u w:val="single"/>
    </w:rPr>
  </w:style>
  <w:style w:type="paragraph" w:styleId="Index2">
    <w:name w:val="index 2"/>
    <w:basedOn w:val="Normal"/>
    <w:next w:val="Normal"/>
    <w:uiPriority w:val="98"/>
    <w:semiHidden/>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DDDDDD" w:themeColor="accent1"/>
      <w:szCs w:val="24"/>
    </w:rPr>
  </w:style>
  <w:style w:type="paragraph" w:styleId="IntenseQuote">
    <w:name w:val="Intense Quote"/>
    <w:basedOn w:val="Normal"/>
    <w:next w:val="Normal"/>
    <w:link w:val="IntenseQuoteChar"/>
    <w:uiPriority w:val="98"/>
    <w:semiHidden/>
    <w:rsid w:val="00B12EF5"/>
    <w:pPr>
      <w:pBdr>
        <w:bottom w:val="single" w:sz="4" w:space="4" w:color="DDDDDD" w:themeColor="accent1"/>
      </w:pBdr>
      <w:spacing w:before="200" w:after="280"/>
      <w:ind w:left="936" w:right="936"/>
    </w:pPr>
    <w:rPr>
      <w:b/>
      <w:bCs/>
      <w:i/>
      <w:iCs/>
      <w:color w:val="DDDDDD" w:themeColor="accent1"/>
    </w:rPr>
  </w:style>
  <w:style w:type="character" w:customStyle="1" w:styleId="IntenseQuoteChar">
    <w:name w:val="Intense Quote Char"/>
    <w:basedOn w:val="DefaultParagraphFont"/>
    <w:link w:val="IntenseQuote"/>
    <w:uiPriority w:val="98"/>
    <w:semiHidden/>
    <w:rsid w:val="00B12EF5"/>
    <w:rPr>
      <w:rFonts w:asciiTheme="minorHAnsi" w:eastAsiaTheme="minorEastAsia" w:hAnsiTheme="minorHAnsi" w:cstheme="minorBidi"/>
      <w:b/>
      <w:bCs/>
      <w:i/>
      <w:iCs/>
      <w:color w:val="DDDDDD" w:themeColor="accent1"/>
      <w:szCs w:val="24"/>
    </w:rPr>
  </w:style>
  <w:style w:type="character" w:styleId="IntenseReference">
    <w:name w:val="Intense Reference"/>
    <w:basedOn w:val="DefaultParagraphFont"/>
    <w:uiPriority w:val="98"/>
    <w:semiHidden/>
    <w:rsid w:val="00B12EF5"/>
    <w:rPr>
      <w:rFonts w:asciiTheme="minorHAnsi" w:eastAsiaTheme="minorEastAsia" w:hAnsiTheme="minorHAnsi" w:cstheme="minorBidi"/>
      <w:b/>
      <w:bCs/>
      <w:smallCaps/>
      <w:color w:val="B2B2B2" w:themeColor="accent2"/>
      <w:spacing w:val="5"/>
      <w:szCs w:val="24"/>
      <w:u w:val="singl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18" w:space="0" w:color="DDDDDD" w:themeColor="accent1"/>
          <w:right w:val="single" w:sz="8" w:space="0" w:color="DDDDDD" w:themeColor="accent1"/>
          <w:insideH w:val="nil"/>
          <w:insideV w:val="single" w:sz="8" w:space="0" w:color="DDDDD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insideH w:val="nil"/>
          <w:insideV w:val="single" w:sz="8" w:space="0" w:color="DDDDD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shd w:val="clear" w:color="auto" w:fill="F6F6F6" w:themeFill="accent1" w:themeFillTint="3F"/>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shd w:val="clear" w:color="auto" w:fill="F6F6F6" w:themeFill="accent1" w:themeFillTint="3F"/>
      </w:tcPr>
    </w:tblStylePr>
    <w:tblStylePr w:type="band2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18" w:space="0" w:color="B2B2B2" w:themeColor="accent2"/>
          <w:right w:val="single" w:sz="8" w:space="0" w:color="B2B2B2" w:themeColor="accent2"/>
          <w:insideH w:val="nil"/>
          <w:insideV w:val="single" w:sz="8" w:space="0" w:color="B2B2B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insideH w:val="nil"/>
          <w:insideV w:val="single" w:sz="8" w:space="0" w:color="B2B2B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shd w:val="clear" w:color="auto" w:fill="EBEBEB" w:themeFill="accent2" w:themeFillTint="3F"/>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shd w:val="clear" w:color="auto" w:fill="EBEBEB" w:themeFill="accent2" w:themeFillTint="3F"/>
      </w:tcPr>
    </w:tblStylePr>
    <w:tblStylePr w:type="band2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18" w:space="0" w:color="969696" w:themeColor="accent3"/>
          <w:right w:val="single" w:sz="8" w:space="0" w:color="969696" w:themeColor="accent3"/>
          <w:insideH w:val="nil"/>
          <w:insideV w:val="single" w:sz="8" w:space="0" w:color="969696"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insideH w:val="nil"/>
          <w:insideV w:val="single" w:sz="8" w:space="0" w:color="969696"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shd w:val="clear" w:color="auto" w:fill="E5E5E5" w:themeFill="accent3" w:themeFillTint="3F"/>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shd w:val="clear" w:color="auto" w:fill="E5E5E5" w:themeFill="accent3" w:themeFillTint="3F"/>
      </w:tcPr>
    </w:tblStylePr>
    <w:tblStylePr w:type="band2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18" w:space="0" w:color="808080" w:themeColor="accent4"/>
          <w:right w:val="single" w:sz="8" w:space="0" w:color="808080" w:themeColor="accent4"/>
          <w:insideH w:val="nil"/>
          <w:insideV w:val="single" w:sz="8" w:space="0" w:color="80808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insideH w:val="nil"/>
          <w:insideV w:val="single" w:sz="8" w:space="0" w:color="80808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shd w:val="clear" w:color="auto" w:fill="DFDFDF" w:themeFill="accent4" w:themeFillTint="3F"/>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shd w:val="clear" w:color="auto" w:fill="DFDFDF" w:themeFill="accent4" w:themeFillTint="3F"/>
      </w:tcPr>
    </w:tblStylePr>
    <w:tblStylePr w:type="band2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pPr>
        <w:spacing w:before="0" w:after="0" w:line="240" w:lineRule="auto"/>
      </w:pPr>
      <w:rPr>
        <w:b/>
        <w:bCs/>
        <w:color w:val="FFFFFF" w:themeColor="background1"/>
      </w:rPr>
      <w:tblPr/>
      <w:tcPr>
        <w:shd w:val="clear" w:color="auto" w:fill="DDDDDD" w:themeFill="accent1"/>
      </w:tcPr>
    </w:tblStylePr>
    <w:tblStylePr w:type="lastRow">
      <w:pPr>
        <w:spacing w:before="0" w:after="0" w:line="240" w:lineRule="auto"/>
      </w:pPr>
      <w:rPr>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tcBorders>
      </w:tcPr>
    </w:tblStylePr>
    <w:tblStylePr w:type="firstCol">
      <w:rPr>
        <w:b/>
        <w:bCs/>
      </w:rPr>
    </w:tblStylePr>
    <w:tblStylePr w:type="lastCol">
      <w:rPr>
        <w:b/>
        <w:bCs/>
      </w:r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pPr>
        <w:spacing w:before="0" w:after="0" w:line="240" w:lineRule="auto"/>
      </w:pPr>
      <w:rPr>
        <w:b/>
        <w:bCs/>
        <w:color w:val="FFFFFF" w:themeColor="background1"/>
      </w:rPr>
      <w:tblPr/>
      <w:tcPr>
        <w:shd w:val="clear" w:color="auto" w:fill="B2B2B2" w:themeFill="accent2"/>
      </w:tcPr>
    </w:tblStylePr>
    <w:tblStylePr w:type="lastRow">
      <w:pPr>
        <w:spacing w:before="0" w:after="0" w:line="240" w:lineRule="auto"/>
      </w:pPr>
      <w:rPr>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tcBorders>
      </w:tcPr>
    </w:tblStylePr>
    <w:tblStylePr w:type="firstCol">
      <w:rPr>
        <w:b/>
        <w:bCs/>
      </w:rPr>
    </w:tblStylePr>
    <w:tblStylePr w:type="lastCol">
      <w:rPr>
        <w:b/>
        <w:bCs/>
      </w:r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pPr>
        <w:spacing w:before="0" w:after="0" w:line="240" w:lineRule="auto"/>
      </w:pPr>
      <w:rPr>
        <w:b/>
        <w:bCs/>
        <w:color w:val="FFFFFF" w:themeColor="background1"/>
      </w:rPr>
      <w:tblPr/>
      <w:tcPr>
        <w:shd w:val="clear" w:color="auto" w:fill="969696" w:themeFill="accent3"/>
      </w:tcPr>
    </w:tblStylePr>
    <w:tblStylePr w:type="lastRow">
      <w:pPr>
        <w:spacing w:before="0" w:after="0" w:line="240" w:lineRule="auto"/>
      </w:pPr>
      <w:rPr>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tcBorders>
      </w:tcPr>
    </w:tblStylePr>
    <w:tblStylePr w:type="firstCol">
      <w:rPr>
        <w:b/>
        <w:bCs/>
      </w:rPr>
    </w:tblStylePr>
    <w:tblStylePr w:type="lastCol">
      <w:rPr>
        <w:b/>
        <w:bCs/>
      </w:r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pPr>
        <w:spacing w:before="0" w:after="0" w:line="240" w:lineRule="auto"/>
      </w:pPr>
      <w:rPr>
        <w:b/>
        <w:bCs/>
        <w:color w:val="FFFFFF" w:themeColor="background1"/>
      </w:rPr>
      <w:tblPr/>
      <w:tcPr>
        <w:shd w:val="clear" w:color="auto" w:fill="808080" w:themeFill="accent4"/>
      </w:tcPr>
    </w:tblStylePr>
    <w:tblStylePr w:type="lastRow">
      <w:pPr>
        <w:spacing w:before="0" w:after="0" w:line="240" w:lineRule="auto"/>
      </w:pPr>
      <w:rPr>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tcBorders>
      </w:tcPr>
    </w:tblStylePr>
    <w:tblStylePr w:type="firstCol">
      <w:rPr>
        <w:b/>
        <w:bCs/>
      </w:rPr>
    </w:tblStylePr>
    <w:tblStylePr w:type="lastCol">
      <w:rPr>
        <w:b/>
        <w:bCs/>
      </w:r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FFFFFF"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FFFFFF"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A5A5A5" w:themeColor="accent1" w:themeShade="BF"/>
    </w:rPr>
    <w:tblPr>
      <w:tblStyleRowBandSize w:val="1"/>
      <w:tblStyleColBandSize w:val="1"/>
      <w:tblBorders>
        <w:top w:val="single" w:sz="8" w:space="0" w:color="DDDDDD" w:themeColor="accent1"/>
        <w:bottom w:val="single" w:sz="8" w:space="0" w:color="DDDDDD" w:themeColor="accent1"/>
      </w:tblBorders>
    </w:tblPr>
    <w:tblStylePr w:type="fir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la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left w:val="nil"/>
          <w:right w:val="nil"/>
          <w:insideH w:val="nil"/>
          <w:insideV w:val="nil"/>
        </w:tcBorders>
        <w:shd w:val="clear" w:color="auto" w:fill="F6F6F6" w:themeFill="accent1" w:themeFillTint="3F"/>
      </w:tcPr>
    </w:tblStylePr>
  </w:style>
  <w:style w:type="table" w:styleId="LightShading-Accent2">
    <w:name w:val="Light Shading Accent 2"/>
    <w:basedOn w:val="TableNormal"/>
    <w:uiPriority w:val="98"/>
    <w:semiHidden/>
    <w:rsid w:val="00B12EF5"/>
    <w:rPr>
      <w:color w:val="858585" w:themeColor="accent2" w:themeShade="BF"/>
    </w:rPr>
    <w:tblPr>
      <w:tblStyleRowBandSize w:val="1"/>
      <w:tblStyleColBandSize w:val="1"/>
      <w:tblBorders>
        <w:top w:val="single" w:sz="8" w:space="0" w:color="B2B2B2" w:themeColor="accent2"/>
        <w:bottom w:val="single" w:sz="8" w:space="0" w:color="B2B2B2" w:themeColor="accent2"/>
      </w:tblBorders>
    </w:tblPr>
    <w:tblStylePr w:type="fir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la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left w:val="nil"/>
          <w:right w:val="nil"/>
          <w:insideH w:val="nil"/>
          <w:insideV w:val="nil"/>
        </w:tcBorders>
        <w:shd w:val="clear" w:color="auto" w:fill="EBEBEB" w:themeFill="accent2" w:themeFillTint="3F"/>
      </w:tcPr>
    </w:tblStylePr>
  </w:style>
  <w:style w:type="table" w:styleId="LightShading-Accent3">
    <w:name w:val="Light Shading Accent 3"/>
    <w:basedOn w:val="TableNormal"/>
    <w:uiPriority w:val="98"/>
    <w:semiHidden/>
    <w:rsid w:val="00B12EF5"/>
    <w:rPr>
      <w:color w:val="707070" w:themeColor="accent3" w:themeShade="BF"/>
    </w:rPr>
    <w:tblPr>
      <w:tblStyleRowBandSize w:val="1"/>
      <w:tblStyleColBandSize w:val="1"/>
      <w:tblBorders>
        <w:top w:val="single" w:sz="8" w:space="0" w:color="969696" w:themeColor="accent3"/>
        <w:bottom w:val="single" w:sz="8" w:space="0" w:color="969696" w:themeColor="accent3"/>
      </w:tblBorders>
    </w:tblPr>
    <w:tblStylePr w:type="fir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la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left w:val="nil"/>
          <w:right w:val="nil"/>
          <w:insideH w:val="nil"/>
          <w:insideV w:val="nil"/>
        </w:tcBorders>
        <w:shd w:val="clear" w:color="auto" w:fill="E5E5E5" w:themeFill="accent3" w:themeFillTint="3F"/>
      </w:tcPr>
    </w:tblStylePr>
  </w:style>
  <w:style w:type="table" w:styleId="LightShading-Accent4">
    <w:name w:val="Light Shading Accent 4"/>
    <w:basedOn w:val="TableNormal"/>
    <w:uiPriority w:val="98"/>
    <w:semiHidden/>
    <w:rsid w:val="00B12EF5"/>
    <w:rPr>
      <w:color w:val="5F5F5F" w:themeColor="accent4" w:themeShade="BF"/>
    </w:rPr>
    <w:tblPr>
      <w:tblStyleRowBandSize w:val="1"/>
      <w:tblStyleColBandSize w:val="1"/>
      <w:tblBorders>
        <w:top w:val="single" w:sz="8" w:space="0" w:color="808080" w:themeColor="accent4"/>
        <w:bottom w:val="single" w:sz="8" w:space="0" w:color="808080" w:themeColor="accent4"/>
      </w:tblBorders>
    </w:tblPr>
    <w:tblStylePr w:type="fir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la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left w:val="nil"/>
          <w:right w:val="nil"/>
          <w:insideH w:val="nil"/>
          <w:insideV w:val="nil"/>
        </w:tcBorders>
        <w:shd w:val="clear" w:color="auto" w:fill="DFDFDF" w:themeFill="accent4" w:themeFillTint="3F"/>
      </w:tcPr>
    </w:tblStylePr>
  </w:style>
  <w:style w:type="table" w:styleId="LightShading-Accent5">
    <w:name w:val="Light Shading Accent 5"/>
    <w:basedOn w:val="TableNormal"/>
    <w:uiPriority w:val="98"/>
    <w:semiHidden/>
    <w:rsid w:val="00B12EF5"/>
    <w:rPr>
      <w:color w:val="474747" w:themeColor="accent5" w:themeShade="BF"/>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8"/>
    <w:semiHidden/>
    <w:rsid w:val="00B12EF5"/>
    <w:rPr>
      <w:color w:val="393939" w:themeColor="accent6" w:themeShade="BF"/>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contextualSpacing/>
    </w:pPr>
  </w:style>
  <w:style w:type="paragraph" w:styleId="ListBullet5">
    <w:name w:val="List Bullet 5"/>
    <w:basedOn w:val="Normal"/>
    <w:uiPriority w:val="98"/>
    <w:semiHidden/>
    <w:rsid w:val="00B12EF5"/>
    <w:pPr>
      <w:numPr>
        <w:numId w:val="7"/>
      </w:numPr>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34"/>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B12EF5"/>
    <w:rPr>
      <w:rFonts w:asciiTheme="minorHAnsi" w:eastAsiaTheme="minorEastAsia" w:hAnsiTheme="minorHAnsi" w:cstheme="minorBidi"/>
      <w:szCs w:val="24"/>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insideV w:val="single" w:sz="8" w:space="0" w:color="E5E5E5" w:themeColor="accent1" w:themeTint="BF"/>
      </w:tblBorders>
    </w:tblPr>
    <w:tcPr>
      <w:shd w:val="clear" w:color="auto" w:fill="F6F6F6" w:themeFill="accent1" w:themeFillTint="3F"/>
    </w:tcPr>
    <w:tblStylePr w:type="firstRow">
      <w:rPr>
        <w:b/>
        <w:bCs/>
      </w:rPr>
    </w:tblStylePr>
    <w:tblStylePr w:type="lastRow">
      <w:rPr>
        <w:b/>
        <w:bCs/>
      </w:rPr>
      <w:tblPr/>
      <w:tcPr>
        <w:tcBorders>
          <w:top w:val="single" w:sz="18" w:space="0" w:color="E5E5E5" w:themeColor="accent1" w:themeTint="BF"/>
        </w:tcBorders>
      </w:tcPr>
    </w:tblStylePr>
    <w:tblStylePr w:type="firstCol">
      <w:rPr>
        <w:b/>
        <w:bCs/>
      </w:rPr>
    </w:tblStylePr>
    <w:tblStylePr w:type="lastCol">
      <w:rPr>
        <w:b/>
        <w:bCs/>
      </w:r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insideV w:val="single" w:sz="8" w:space="0" w:color="C5C5C5" w:themeColor="accent2" w:themeTint="BF"/>
      </w:tblBorders>
    </w:tblPr>
    <w:tcPr>
      <w:shd w:val="clear" w:color="auto" w:fill="EBEBEB" w:themeFill="accent2" w:themeFillTint="3F"/>
    </w:tcPr>
    <w:tblStylePr w:type="firstRow">
      <w:rPr>
        <w:b/>
        <w:bCs/>
      </w:rPr>
    </w:tblStylePr>
    <w:tblStylePr w:type="lastRow">
      <w:rPr>
        <w:b/>
        <w:bCs/>
      </w:rPr>
      <w:tblPr/>
      <w:tcPr>
        <w:tcBorders>
          <w:top w:val="single" w:sz="18" w:space="0" w:color="C5C5C5" w:themeColor="accent2" w:themeTint="BF"/>
        </w:tcBorders>
      </w:tcPr>
    </w:tblStylePr>
    <w:tblStylePr w:type="firstCol">
      <w:rPr>
        <w:b/>
        <w:bCs/>
      </w:rPr>
    </w:tblStylePr>
    <w:tblStylePr w:type="lastCol">
      <w:rPr>
        <w:b/>
        <w:bCs/>
      </w:r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insideV w:val="single" w:sz="8" w:space="0" w:color="B0B0B0" w:themeColor="accent3" w:themeTint="BF"/>
      </w:tblBorders>
    </w:tblPr>
    <w:tcPr>
      <w:shd w:val="clear" w:color="auto" w:fill="E5E5E5" w:themeFill="accent3" w:themeFillTint="3F"/>
    </w:tcPr>
    <w:tblStylePr w:type="firstRow">
      <w:rPr>
        <w:b/>
        <w:bCs/>
      </w:rPr>
    </w:tblStylePr>
    <w:tblStylePr w:type="lastRow">
      <w:rPr>
        <w:b/>
        <w:bCs/>
      </w:rPr>
      <w:tblPr/>
      <w:tcPr>
        <w:tcBorders>
          <w:top w:val="single" w:sz="18" w:space="0" w:color="B0B0B0" w:themeColor="accent3" w:themeTint="BF"/>
        </w:tcBorders>
      </w:tcPr>
    </w:tblStylePr>
    <w:tblStylePr w:type="firstCol">
      <w:rPr>
        <w:b/>
        <w:bCs/>
      </w:rPr>
    </w:tblStylePr>
    <w:tblStylePr w:type="lastCol">
      <w:rPr>
        <w:b/>
        <w:bCs/>
      </w:r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insideV w:val="single" w:sz="8" w:space="0" w:color="9F9F9F" w:themeColor="accent4" w:themeTint="BF"/>
      </w:tblBorders>
    </w:tblPr>
    <w:tcPr>
      <w:shd w:val="clear" w:color="auto" w:fill="DFDFDF" w:themeFill="accent4" w:themeFillTint="3F"/>
    </w:tcPr>
    <w:tblStylePr w:type="firstRow">
      <w:rPr>
        <w:b/>
        <w:bCs/>
      </w:rPr>
    </w:tblStylePr>
    <w:tblStylePr w:type="lastRow">
      <w:rPr>
        <w:b/>
        <w:bCs/>
      </w:rPr>
      <w:tblPr/>
      <w:tcPr>
        <w:tcBorders>
          <w:top w:val="single" w:sz="18" w:space="0" w:color="9F9F9F" w:themeColor="accent4" w:themeTint="BF"/>
        </w:tcBorders>
      </w:tcPr>
    </w:tblStylePr>
    <w:tblStylePr w:type="firstCol">
      <w:rPr>
        <w:b/>
        <w:bCs/>
      </w:rPr>
    </w:tblStylePr>
    <w:tblStylePr w:type="lastCol">
      <w:rPr>
        <w:b/>
        <w:bCs/>
      </w:r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8"/>
    <w:semiHidden/>
    <w:rsid w:val="00B12EF5"/>
    <w:rPr>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rPr>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F6F6F6" w:themeFill="accent1" w:themeFillTint="3F"/>
    </w:tcPr>
    <w:tblStylePr w:type="firstRow">
      <w:rPr>
        <w:b/>
        <w:bCs/>
        <w:color w:val="000000" w:themeColor="text1"/>
      </w:rPr>
      <w:tblPr/>
      <w:tcPr>
        <w:shd w:val="clear" w:color="auto" w:fill="FBFB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8F8" w:themeFill="accent1" w:themeFillTint="33"/>
      </w:tcPr>
    </w:tblStylePr>
    <w:tblStylePr w:type="band1Vert">
      <w:tblPr/>
      <w:tcPr>
        <w:shd w:val="clear" w:color="auto" w:fill="EEEEEE" w:themeFill="accent1" w:themeFillTint="7F"/>
      </w:tcPr>
    </w:tblStylePr>
    <w:tblStylePr w:type="band1Horz">
      <w:tblPr/>
      <w:tcPr>
        <w:tcBorders>
          <w:insideH w:val="single" w:sz="6" w:space="0" w:color="DDDDDD" w:themeColor="accent1"/>
          <w:insideV w:val="single" w:sz="6" w:space="0" w:color="DDDDDD" w:themeColor="accent1"/>
        </w:tcBorders>
        <w:shd w:val="clear" w:color="auto" w:fill="EEEEE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rPr>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cPr>
      <w:shd w:val="clear" w:color="auto" w:fill="EBEBEB" w:themeFill="accent2" w:themeFillTint="3F"/>
    </w:tcPr>
    <w:tblStylePr w:type="firstRow">
      <w:rPr>
        <w:b/>
        <w:bCs/>
        <w:color w:val="000000" w:themeColor="text1"/>
      </w:rPr>
      <w:tblPr/>
      <w:tcPr>
        <w:shd w:val="clear" w:color="auto" w:fill="F7F7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EFEF" w:themeFill="accent2" w:themeFillTint="33"/>
      </w:tcPr>
    </w:tblStylePr>
    <w:tblStylePr w:type="band1Vert">
      <w:tblPr/>
      <w:tcPr>
        <w:shd w:val="clear" w:color="auto" w:fill="D8D8D8" w:themeFill="accent2" w:themeFillTint="7F"/>
      </w:tcPr>
    </w:tblStylePr>
    <w:tblStylePr w:type="band1Horz">
      <w:tblPr/>
      <w:tcPr>
        <w:tcBorders>
          <w:insideH w:val="single" w:sz="6" w:space="0" w:color="B2B2B2" w:themeColor="accent2"/>
          <w:insideV w:val="single" w:sz="6" w:space="0" w:color="B2B2B2" w:themeColor="accent2"/>
        </w:tcBorders>
        <w:shd w:val="clear" w:color="auto" w:fill="D8D8D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rPr>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cPr>
      <w:shd w:val="clear" w:color="auto" w:fill="E5E5E5" w:themeFill="accent3" w:themeFillTint="3F"/>
    </w:tcPr>
    <w:tblStylePr w:type="firstRow">
      <w:rPr>
        <w:b/>
        <w:bCs/>
        <w:color w:val="000000" w:themeColor="text1"/>
      </w:rPr>
      <w:tblPr/>
      <w:tcPr>
        <w:shd w:val="clear" w:color="auto" w:fill="F4F4F4"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3" w:themeFillTint="33"/>
      </w:tcPr>
    </w:tblStylePr>
    <w:tblStylePr w:type="band1Vert">
      <w:tblPr/>
      <w:tcPr>
        <w:shd w:val="clear" w:color="auto" w:fill="CACACA" w:themeFill="accent3" w:themeFillTint="7F"/>
      </w:tcPr>
    </w:tblStylePr>
    <w:tblStylePr w:type="band1Horz">
      <w:tblPr/>
      <w:tcPr>
        <w:tcBorders>
          <w:insideH w:val="single" w:sz="6" w:space="0" w:color="969696" w:themeColor="accent3"/>
          <w:insideV w:val="single" w:sz="6" w:space="0" w:color="969696" w:themeColor="accent3"/>
        </w:tcBorders>
        <w:shd w:val="clear" w:color="auto" w:fill="CACAC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rPr>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cPr>
      <w:shd w:val="clear" w:color="auto" w:fill="DFDFDF" w:themeFill="accent4" w:themeFillTint="3F"/>
    </w:tcPr>
    <w:tblStylePr w:type="firstRow">
      <w:rPr>
        <w:b/>
        <w:bCs/>
        <w:color w:val="000000" w:themeColor="text1"/>
      </w:rPr>
      <w:tblPr/>
      <w:tcPr>
        <w:shd w:val="clear" w:color="auto" w:fill="F2F2F2"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5E5" w:themeFill="accent4" w:themeFillTint="33"/>
      </w:tcPr>
    </w:tblStylePr>
    <w:tblStylePr w:type="band1Vert">
      <w:tblPr/>
      <w:tcPr>
        <w:shd w:val="clear" w:color="auto" w:fill="BFBFBF" w:themeFill="accent4" w:themeFillTint="7F"/>
      </w:tcPr>
    </w:tblStylePr>
    <w:tblStylePr w:type="band1Horz">
      <w:tblPr/>
      <w:tcPr>
        <w:tcBorders>
          <w:insideH w:val="single" w:sz="6" w:space="0" w:color="808080" w:themeColor="accent4"/>
          <w:insideV w:val="single" w:sz="6" w:space="0" w:color="808080" w:themeColor="accent4"/>
        </w:tcBorders>
        <w:shd w:val="clear" w:color="auto" w:fill="BFBFB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rPr>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rPr>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6F6F6"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DDDD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DDDD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EEEE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EEEEE"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EB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B2B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B2B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D8D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D8D8"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5E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69696"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69696"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ACAC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ACACA"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FD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808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808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FB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FBF"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D7D7"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F5F5F"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F5F5F"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AFA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AFAF"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3D3"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D4D4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D4D4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6A6"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6A6" w:themeFill="accent6" w:themeFillTint="7F"/>
      </w:tcPr>
    </w:tblStylePr>
  </w:style>
  <w:style w:type="table" w:styleId="MediumList1">
    <w:name w:val="Medium List 1"/>
    <w:basedOn w:val="TableNormal"/>
    <w:uiPriority w:val="98"/>
    <w:semiHidden/>
    <w:rsid w:val="00B12EF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rPr>
      <w:color w:val="000000" w:themeColor="text1"/>
    </w:rPr>
    <w:tblPr>
      <w:tblStyleRowBandSize w:val="1"/>
      <w:tblStyleColBandSize w:val="1"/>
      <w:tblBorders>
        <w:top w:val="single" w:sz="8" w:space="0" w:color="DDDDDD" w:themeColor="accent1"/>
        <w:bottom w:val="single" w:sz="8" w:space="0" w:color="DDDDDD" w:themeColor="accent1"/>
      </w:tblBorders>
    </w:tblPr>
    <w:tblStylePr w:type="firstRow">
      <w:rPr>
        <w:rFonts w:asciiTheme="majorHAnsi" w:eastAsiaTheme="majorEastAsia" w:hAnsiTheme="majorHAnsi" w:cstheme="majorBidi"/>
      </w:rPr>
      <w:tblPr/>
      <w:tcPr>
        <w:tcBorders>
          <w:top w:val="nil"/>
          <w:bottom w:val="single" w:sz="8" w:space="0" w:color="DDDDDD" w:themeColor="accent1"/>
        </w:tcBorders>
      </w:tcPr>
    </w:tblStylePr>
    <w:tblStylePr w:type="lastRow">
      <w:rPr>
        <w:b/>
        <w:bCs/>
        <w:color w:val="000000" w:themeColor="text2"/>
      </w:rPr>
      <w:tblPr/>
      <w:tcPr>
        <w:tcBorders>
          <w:top w:val="single" w:sz="8" w:space="0" w:color="DDDDDD" w:themeColor="accent1"/>
          <w:bottom w:val="single" w:sz="8" w:space="0" w:color="DDDDDD" w:themeColor="accent1"/>
        </w:tcBorders>
      </w:tcPr>
    </w:tblStylePr>
    <w:tblStylePr w:type="firstCol">
      <w:rPr>
        <w:b/>
        <w:bCs/>
      </w:rPr>
    </w:tblStylePr>
    <w:tblStylePr w:type="lastCol">
      <w:rPr>
        <w:b/>
        <w:bCs/>
      </w:rPr>
      <w:tblPr/>
      <w:tcPr>
        <w:tcBorders>
          <w:top w:val="single" w:sz="8" w:space="0" w:color="DDDDDD" w:themeColor="accent1"/>
          <w:bottom w:val="single" w:sz="8" w:space="0" w:color="DDDDDD" w:themeColor="accent1"/>
        </w:tcBorders>
      </w:tcPr>
    </w:tblStylePr>
    <w:tblStylePr w:type="band1Vert">
      <w:tblPr/>
      <w:tcPr>
        <w:shd w:val="clear" w:color="auto" w:fill="F6F6F6" w:themeFill="accent1" w:themeFillTint="3F"/>
      </w:tcPr>
    </w:tblStylePr>
    <w:tblStylePr w:type="band1Horz">
      <w:tblPr/>
      <w:tcPr>
        <w:shd w:val="clear" w:color="auto" w:fill="F6F6F6" w:themeFill="accent1" w:themeFillTint="3F"/>
      </w:tcPr>
    </w:tblStylePr>
  </w:style>
  <w:style w:type="table" w:styleId="MediumList1-Accent2">
    <w:name w:val="Medium List 1 Accent 2"/>
    <w:basedOn w:val="TableNormal"/>
    <w:uiPriority w:val="98"/>
    <w:semiHidden/>
    <w:rsid w:val="00B12EF5"/>
    <w:rPr>
      <w:color w:val="000000" w:themeColor="text1"/>
    </w:rPr>
    <w:tblPr>
      <w:tblStyleRowBandSize w:val="1"/>
      <w:tblStyleColBandSize w:val="1"/>
      <w:tblBorders>
        <w:top w:val="single" w:sz="8" w:space="0" w:color="B2B2B2" w:themeColor="accent2"/>
        <w:bottom w:val="single" w:sz="8" w:space="0" w:color="B2B2B2" w:themeColor="accent2"/>
      </w:tblBorders>
    </w:tblPr>
    <w:tblStylePr w:type="firstRow">
      <w:rPr>
        <w:rFonts w:asciiTheme="majorHAnsi" w:eastAsiaTheme="majorEastAsia" w:hAnsiTheme="majorHAnsi" w:cstheme="majorBidi"/>
      </w:rPr>
      <w:tblPr/>
      <w:tcPr>
        <w:tcBorders>
          <w:top w:val="nil"/>
          <w:bottom w:val="single" w:sz="8" w:space="0" w:color="B2B2B2" w:themeColor="accent2"/>
        </w:tcBorders>
      </w:tcPr>
    </w:tblStylePr>
    <w:tblStylePr w:type="lastRow">
      <w:rPr>
        <w:b/>
        <w:bCs/>
        <w:color w:val="000000" w:themeColor="text2"/>
      </w:rPr>
      <w:tblPr/>
      <w:tcPr>
        <w:tcBorders>
          <w:top w:val="single" w:sz="8" w:space="0" w:color="B2B2B2" w:themeColor="accent2"/>
          <w:bottom w:val="single" w:sz="8" w:space="0" w:color="B2B2B2" w:themeColor="accent2"/>
        </w:tcBorders>
      </w:tcPr>
    </w:tblStylePr>
    <w:tblStylePr w:type="firstCol">
      <w:rPr>
        <w:b/>
        <w:bCs/>
      </w:rPr>
    </w:tblStylePr>
    <w:tblStylePr w:type="lastCol">
      <w:rPr>
        <w:b/>
        <w:bCs/>
      </w:rPr>
      <w:tblPr/>
      <w:tcPr>
        <w:tcBorders>
          <w:top w:val="single" w:sz="8" w:space="0" w:color="B2B2B2" w:themeColor="accent2"/>
          <w:bottom w:val="single" w:sz="8" w:space="0" w:color="B2B2B2" w:themeColor="accent2"/>
        </w:tcBorders>
      </w:tcPr>
    </w:tblStylePr>
    <w:tblStylePr w:type="band1Vert">
      <w:tblPr/>
      <w:tcPr>
        <w:shd w:val="clear" w:color="auto" w:fill="EBEBEB" w:themeFill="accent2" w:themeFillTint="3F"/>
      </w:tcPr>
    </w:tblStylePr>
    <w:tblStylePr w:type="band1Horz">
      <w:tblPr/>
      <w:tcPr>
        <w:shd w:val="clear" w:color="auto" w:fill="EBEBEB" w:themeFill="accent2" w:themeFillTint="3F"/>
      </w:tcPr>
    </w:tblStylePr>
  </w:style>
  <w:style w:type="table" w:styleId="MediumList1-Accent3">
    <w:name w:val="Medium List 1 Accent 3"/>
    <w:basedOn w:val="TableNormal"/>
    <w:uiPriority w:val="98"/>
    <w:semiHidden/>
    <w:rsid w:val="00B12EF5"/>
    <w:rPr>
      <w:color w:val="000000" w:themeColor="text1"/>
    </w:rPr>
    <w:tblPr>
      <w:tblStyleRowBandSize w:val="1"/>
      <w:tblStyleColBandSize w:val="1"/>
      <w:tblBorders>
        <w:top w:val="single" w:sz="8" w:space="0" w:color="969696" w:themeColor="accent3"/>
        <w:bottom w:val="single" w:sz="8" w:space="0" w:color="969696" w:themeColor="accent3"/>
      </w:tblBorders>
    </w:tblPr>
    <w:tblStylePr w:type="firstRow">
      <w:rPr>
        <w:rFonts w:asciiTheme="majorHAnsi" w:eastAsiaTheme="majorEastAsia" w:hAnsiTheme="majorHAnsi" w:cstheme="majorBidi"/>
      </w:rPr>
      <w:tblPr/>
      <w:tcPr>
        <w:tcBorders>
          <w:top w:val="nil"/>
          <w:bottom w:val="single" w:sz="8" w:space="0" w:color="969696" w:themeColor="accent3"/>
        </w:tcBorders>
      </w:tcPr>
    </w:tblStylePr>
    <w:tblStylePr w:type="lastRow">
      <w:rPr>
        <w:b/>
        <w:bCs/>
        <w:color w:val="000000" w:themeColor="text2"/>
      </w:rPr>
      <w:tblPr/>
      <w:tcPr>
        <w:tcBorders>
          <w:top w:val="single" w:sz="8" w:space="0" w:color="969696" w:themeColor="accent3"/>
          <w:bottom w:val="single" w:sz="8" w:space="0" w:color="969696" w:themeColor="accent3"/>
        </w:tcBorders>
      </w:tcPr>
    </w:tblStylePr>
    <w:tblStylePr w:type="firstCol">
      <w:rPr>
        <w:b/>
        <w:bCs/>
      </w:rPr>
    </w:tblStylePr>
    <w:tblStylePr w:type="lastCol">
      <w:rPr>
        <w:b/>
        <w:bCs/>
      </w:rPr>
      <w:tblPr/>
      <w:tcPr>
        <w:tcBorders>
          <w:top w:val="single" w:sz="8" w:space="0" w:color="969696" w:themeColor="accent3"/>
          <w:bottom w:val="single" w:sz="8" w:space="0" w:color="969696" w:themeColor="accent3"/>
        </w:tcBorders>
      </w:tcPr>
    </w:tblStylePr>
    <w:tblStylePr w:type="band1Vert">
      <w:tblPr/>
      <w:tcPr>
        <w:shd w:val="clear" w:color="auto" w:fill="E5E5E5" w:themeFill="accent3" w:themeFillTint="3F"/>
      </w:tcPr>
    </w:tblStylePr>
    <w:tblStylePr w:type="band1Horz">
      <w:tblPr/>
      <w:tcPr>
        <w:shd w:val="clear" w:color="auto" w:fill="E5E5E5" w:themeFill="accent3" w:themeFillTint="3F"/>
      </w:tcPr>
    </w:tblStylePr>
  </w:style>
  <w:style w:type="table" w:styleId="MediumList1-Accent4">
    <w:name w:val="Medium List 1 Accent 4"/>
    <w:basedOn w:val="TableNormal"/>
    <w:uiPriority w:val="98"/>
    <w:semiHidden/>
    <w:rsid w:val="00B12EF5"/>
    <w:rPr>
      <w:color w:val="000000" w:themeColor="text1"/>
    </w:rPr>
    <w:tblPr>
      <w:tblStyleRowBandSize w:val="1"/>
      <w:tblStyleColBandSize w:val="1"/>
      <w:tblBorders>
        <w:top w:val="single" w:sz="8" w:space="0" w:color="808080" w:themeColor="accent4"/>
        <w:bottom w:val="single" w:sz="8" w:space="0" w:color="808080" w:themeColor="accent4"/>
      </w:tblBorders>
    </w:tblPr>
    <w:tblStylePr w:type="firstRow">
      <w:rPr>
        <w:rFonts w:asciiTheme="majorHAnsi" w:eastAsiaTheme="majorEastAsia" w:hAnsiTheme="majorHAnsi" w:cstheme="majorBidi"/>
      </w:rPr>
      <w:tblPr/>
      <w:tcPr>
        <w:tcBorders>
          <w:top w:val="nil"/>
          <w:bottom w:val="single" w:sz="8" w:space="0" w:color="808080" w:themeColor="accent4"/>
        </w:tcBorders>
      </w:tcPr>
    </w:tblStylePr>
    <w:tblStylePr w:type="lastRow">
      <w:rPr>
        <w:b/>
        <w:bCs/>
        <w:color w:val="000000" w:themeColor="text2"/>
      </w:rPr>
      <w:tblPr/>
      <w:tcPr>
        <w:tcBorders>
          <w:top w:val="single" w:sz="8" w:space="0" w:color="808080" w:themeColor="accent4"/>
          <w:bottom w:val="single" w:sz="8" w:space="0" w:color="808080" w:themeColor="accent4"/>
        </w:tcBorders>
      </w:tcPr>
    </w:tblStylePr>
    <w:tblStylePr w:type="firstCol">
      <w:rPr>
        <w:b/>
        <w:bCs/>
      </w:rPr>
    </w:tblStylePr>
    <w:tblStylePr w:type="lastCol">
      <w:rPr>
        <w:b/>
        <w:bCs/>
      </w:rPr>
      <w:tblPr/>
      <w:tcPr>
        <w:tcBorders>
          <w:top w:val="single" w:sz="8" w:space="0" w:color="808080" w:themeColor="accent4"/>
          <w:bottom w:val="single" w:sz="8" w:space="0" w:color="808080" w:themeColor="accent4"/>
        </w:tcBorders>
      </w:tcPr>
    </w:tblStylePr>
    <w:tblStylePr w:type="band1Vert">
      <w:tblPr/>
      <w:tcPr>
        <w:shd w:val="clear" w:color="auto" w:fill="DFDFDF" w:themeFill="accent4" w:themeFillTint="3F"/>
      </w:tcPr>
    </w:tblStylePr>
    <w:tblStylePr w:type="band1Horz">
      <w:tblPr/>
      <w:tcPr>
        <w:shd w:val="clear" w:color="auto" w:fill="DFDFDF" w:themeFill="accent4" w:themeFillTint="3F"/>
      </w:tcPr>
    </w:tblStylePr>
  </w:style>
  <w:style w:type="table" w:styleId="MediumList1-Accent5">
    <w:name w:val="Medium List 1 Accent 5"/>
    <w:basedOn w:val="TableNormal"/>
    <w:uiPriority w:val="98"/>
    <w:semiHidden/>
    <w:rsid w:val="00B12EF5"/>
    <w:rPr>
      <w:color w:val="000000" w:themeColor="text1"/>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000000"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8"/>
    <w:semiHidden/>
    <w:rsid w:val="00B12EF5"/>
    <w:rPr>
      <w:color w:val="000000" w:themeColor="text1"/>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000000"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8"/>
    <w:semiHidden/>
    <w:rsid w:val="00B12EF5"/>
    <w:rPr>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rPr>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rPr>
        <w:sz w:val="24"/>
        <w:szCs w:val="24"/>
      </w:rPr>
      <w:tblPr/>
      <w:tcPr>
        <w:tcBorders>
          <w:top w:val="nil"/>
          <w:left w:val="nil"/>
          <w:bottom w:val="single" w:sz="24" w:space="0" w:color="DDDDDD" w:themeColor="accent1"/>
          <w:right w:val="nil"/>
          <w:insideH w:val="nil"/>
          <w:insideV w:val="nil"/>
        </w:tcBorders>
        <w:shd w:val="clear" w:color="auto" w:fill="FFFFFF" w:themeFill="background1"/>
      </w:tcPr>
    </w:tblStylePr>
    <w:tblStylePr w:type="lastRow">
      <w:tblPr/>
      <w:tcPr>
        <w:tcBorders>
          <w:top w:val="single" w:sz="8" w:space="0" w:color="DDDDD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DDDDD" w:themeColor="accent1"/>
          <w:insideH w:val="nil"/>
          <w:insideV w:val="nil"/>
        </w:tcBorders>
        <w:shd w:val="clear" w:color="auto" w:fill="FFFFFF" w:themeFill="background1"/>
      </w:tcPr>
    </w:tblStylePr>
    <w:tblStylePr w:type="lastCol">
      <w:tblPr/>
      <w:tcPr>
        <w:tcBorders>
          <w:top w:val="nil"/>
          <w:left w:val="single" w:sz="8" w:space="0" w:color="DDDDD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top w:val="nil"/>
          <w:bottom w:val="nil"/>
          <w:insideH w:val="nil"/>
          <w:insideV w:val="nil"/>
        </w:tcBorders>
        <w:shd w:val="clear" w:color="auto" w:fill="F6F6F6"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rPr>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rPr>
        <w:sz w:val="24"/>
        <w:szCs w:val="24"/>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tblPr/>
      <w:tcPr>
        <w:tcBorders>
          <w:top w:val="single" w:sz="8" w:space="0" w:color="B2B2B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B2B2" w:themeColor="accent2"/>
          <w:insideH w:val="nil"/>
          <w:insideV w:val="nil"/>
        </w:tcBorders>
        <w:shd w:val="clear" w:color="auto" w:fill="FFFFFF" w:themeFill="background1"/>
      </w:tcPr>
    </w:tblStylePr>
    <w:tblStylePr w:type="lastCol">
      <w:tblPr/>
      <w:tcPr>
        <w:tcBorders>
          <w:top w:val="nil"/>
          <w:left w:val="single" w:sz="8" w:space="0" w:color="B2B2B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top w:val="nil"/>
          <w:bottom w:val="nil"/>
          <w:insideH w:val="nil"/>
          <w:insideV w:val="nil"/>
        </w:tcBorders>
        <w:shd w:val="clear" w:color="auto" w:fill="EBEB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rPr>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rPr>
        <w:sz w:val="24"/>
        <w:szCs w:val="24"/>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tblPr/>
      <w:tcPr>
        <w:tcBorders>
          <w:top w:val="single" w:sz="8" w:space="0" w:color="969696"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69696" w:themeColor="accent3"/>
          <w:insideH w:val="nil"/>
          <w:insideV w:val="nil"/>
        </w:tcBorders>
        <w:shd w:val="clear" w:color="auto" w:fill="FFFFFF" w:themeFill="background1"/>
      </w:tcPr>
    </w:tblStylePr>
    <w:tblStylePr w:type="lastCol">
      <w:tblPr/>
      <w:tcPr>
        <w:tcBorders>
          <w:top w:val="nil"/>
          <w:left w:val="single" w:sz="8" w:space="0" w:color="969696"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top w:val="nil"/>
          <w:bottom w:val="nil"/>
          <w:insideH w:val="nil"/>
          <w:insideV w:val="nil"/>
        </w:tcBorders>
        <w:shd w:val="clear" w:color="auto" w:fill="E5E5E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rPr>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rPr>
        <w:sz w:val="24"/>
        <w:szCs w:val="24"/>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tblPr/>
      <w:tcPr>
        <w:tcBorders>
          <w:top w:val="single" w:sz="8" w:space="0" w:color="80808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8080" w:themeColor="accent4"/>
          <w:insideH w:val="nil"/>
          <w:insideV w:val="nil"/>
        </w:tcBorders>
        <w:shd w:val="clear" w:color="auto" w:fill="FFFFFF" w:themeFill="background1"/>
      </w:tcPr>
    </w:tblStylePr>
    <w:tblStylePr w:type="lastCol">
      <w:tblPr/>
      <w:tcPr>
        <w:tcBorders>
          <w:top w:val="nil"/>
          <w:left w:val="single" w:sz="8" w:space="0" w:color="80808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top w:val="nil"/>
          <w:bottom w:val="nil"/>
          <w:insideH w:val="nil"/>
          <w:insideV w:val="nil"/>
        </w:tcBorders>
        <w:shd w:val="clear" w:color="auto" w:fill="DFDFD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rPr>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tblPr/>
      <w:tcPr>
        <w:tcBorders>
          <w:top w:val="single" w:sz="8" w:space="0" w:color="5F5F5F"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F5F5F" w:themeColor="accent5"/>
          <w:insideH w:val="nil"/>
          <w:insideV w:val="nil"/>
        </w:tcBorders>
        <w:shd w:val="clear" w:color="auto" w:fill="FFFFFF" w:themeFill="background1"/>
      </w:tcPr>
    </w:tblStylePr>
    <w:tblStylePr w:type="lastCol">
      <w:tblPr/>
      <w:tcPr>
        <w:tcBorders>
          <w:top w:val="nil"/>
          <w:left w:val="single" w:sz="8" w:space="0" w:color="5F5F5F"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rPr>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tblPr/>
      <w:tcPr>
        <w:tcBorders>
          <w:top w:val="single" w:sz="8" w:space="0" w:color="4D4D4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D4D4D" w:themeColor="accent6"/>
          <w:insideH w:val="nil"/>
          <w:insideV w:val="nil"/>
        </w:tcBorders>
        <w:shd w:val="clear" w:color="auto" w:fill="FFFFFF" w:themeFill="background1"/>
      </w:tcPr>
    </w:tblStylePr>
    <w:tblStylePr w:type="lastCol">
      <w:tblPr/>
      <w:tcPr>
        <w:tcBorders>
          <w:top w:val="nil"/>
          <w:left w:val="single" w:sz="8" w:space="0" w:color="4D4D4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tblBorders>
    </w:tblPr>
    <w:tblStylePr w:type="firstRow">
      <w:pPr>
        <w:spacing w:before="0" w:after="0" w:line="240" w:lineRule="auto"/>
      </w:pPr>
      <w:rPr>
        <w:b/>
        <w:bCs/>
        <w:color w:val="FFFFFF" w:themeColor="background1"/>
      </w:rPr>
      <w:tblPr/>
      <w:tcPr>
        <w:tc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shd w:val="clear" w:color="auto" w:fill="DDDDDD" w:themeFill="accent1"/>
      </w:tcPr>
    </w:tblStylePr>
    <w:tblStylePr w:type="lastRow">
      <w:pPr>
        <w:spacing w:before="0" w:after="0" w:line="240" w:lineRule="auto"/>
      </w:pPr>
      <w:rPr>
        <w:b/>
        <w:bCs/>
      </w:rPr>
      <w:tblPr/>
      <w:tcPr>
        <w:tcBorders>
          <w:top w:val="double" w:sz="6"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tcPr>
    </w:tblStylePr>
    <w:tblStylePr w:type="firstCol">
      <w:rPr>
        <w:b/>
        <w:bCs/>
      </w:rPr>
    </w:tblStylePr>
    <w:tblStylePr w:type="lastCol">
      <w:rPr>
        <w:b/>
        <w:bCs/>
      </w:rPr>
    </w:tblStylePr>
    <w:tblStylePr w:type="band1Vert">
      <w:tblPr/>
      <w:tcPr>
        <w:shd w:val="clear" w:color="auto" w:fill="F6F6F6" w:themeFill="accent1" w:themeFillTint="3F"/>
      </w:tcPr>
    </w:tblStylePr>
    <w:tblStylePr w:type="band1Horz">
      <w:tblPr/>
      <w:tcPr>
        <w:tcBorders>
          <w:insideH w:val="nil"/>
          <w:insideV w:val="nil"/>
        </w:tcBorders>
        <w:shd w:val="clear" w:color="auto" w:fill="F6F6F6"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tblBorders>
    </w:tblPr>
    <w:tblStylePr w:type="firstRow">
      <w:pPr>
        <w:spacing w:before="0" w:after="0" w:line="240" w:lineRule="auto"/>
      </w:pPr>
      <w:rPr>
        <w:b/>
        <w:bCs/>
        <w:color w:val="FFFFFF" w:themeColor="background1"/>
      </w:rPr>
      <w:tblPr/>
      <w:tcPr>
        <w:tc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shd w:val="clear" w:color="auto" w:fill="B2B2B2" w:themeFill="accent2"/>
      </w:tcPr>
    </w:tblStylePr>
    <w:tblStylePr w:type="lastRow">
      <w:pPr>
        <w:spacing w:before="0" w:after="0" w:line="240" w:lineRule="auto"/>
      </w:pPr>
      <w:rPr>
        <w:b/>
        <w:bCs/>
      </w:rPr>
      <w:tblPr/>
      <w:tcPr>
        <w:tcBorders>
          <w:top w:val="double" w:sz="6"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EBEB" w:themeFill="accent2" w:themeFillTint="3F"/>
      </w:tcPr>
    </w:tblStylePr>
    <w:tblStylePr w:type="band1Horz">
      <w:tblPr/>
      <w:tcPr>
        <w:tcBorders>
          <w:insideH w:val="nil"/>
          <w:insideV w:val="nil"/>
        </w:tcBorders>
        <w:shd w:val="clear" w:color="auto" w:fill="EBEB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tblBorders>
    </w:tblPr>
    <w:tblStylePr w:type="firstRow">
      <w:pPr>
        <w:spacing w:before="0" w:after="0" w:line="240" w:lineRule="auto"/>
      </w:pPr>
      <w:rPr>
        <w:b/>
        <w:bCs/>
        <w:color w:val="FFFFFF" w:themeColor="background1"/>
      </w:rPr>
      <w:tblPr/>
      <w:tcPr>
        <w:tc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shd w:val="clear" w:color="auto" w:fill="969696" w:themeFill="accent3"/>
      </w:tcPr>
    </w:tblStylePr>
    <w:tblStylePr w:type="lastRow">
      <w:pPr>
        <w:spacing w:before="0" w:after="0" w:line="240" w:lineRule="auto"/>
      </w:pPr>
      <w:rPr>
        <w:b/>
        <w:bCs/>
      </w:rPr>
      <w:tblPr/>
      <w:tcPr>
        <w:tcBorders>
          <w:top w:val="double" w:sz="6"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3" w:themeFillTint="3F"/>
      </w:tcPr>
    </w:tblStylePr>
    <w:tblStylePr w:type="band1Horz">
      <w:tblPr/>
      <w:tcPr>
        <w:tcBorders>
          <w:insideH w:val="nil"/>
          <w:insideV w:val="nil"/>
        </w:tcBorders>
        <w:shd w:val="clear" w:color="auto" w:fill="E5E5E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tblBorders>
    </w:tblPr>
    <w:tblStylePr w:type="firstRow">
      <w:pPr>
        <w:spacing w:before="0" w:after="0" w:line="240" w:lineRule="auto"/>
      </w:pPr>
      <w:rPr>
        <w:b/>
        <w:bCs/>
        <w:color w:val="FFFFFF" w:themeColor="background1"/>
      </w:rPr>
      <w:tblPr/>
      <w:tcPr>
        <w:tc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shd w:val="clear" w:color="auto" w:fill="808080" w:themeFill="accent4"/>
      </w:tcPr>
    </w:tblStylePr>
    <w:tblStylePr w:type="lastRow">
      <w:pPr>
        <w:spacing w:before="0" w:after="0" w:line="240" w:lineRule="auto"/>
      </w:pPr>
      <w:rPr>
        <w:b/>
        <w:bCs/>
      </w:rPr>
      <w:tblPr/>
      <w:tcPr>
        <w:tcBorders>
          <w:top w:val="double" w:sz="6"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FDF" w:themeFill="accent4" w:themeFillTint="3F"/>
      </w:tcPr>
    </w:tblStylePr>
    <w:tblStylePr w:type="band1Horz">
      <w:tblPr/>
      <w:tcPr>
        <w:tcBorders>
          <w:insideH w:val="nil"/>
          <w:insideV w:val="nil"/>
        </w:tcBorders>
        <w:shd w:val="clear" w:color="auto" w:fill="DFDFD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FFFFFF"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FFFFFF"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DDDD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DDDDD" w:themeFill="accent1"/>
      </w:tcPr>
    </w:tblStylePr>
    <w:tblStylePr w:type="lastCol">
      <w:rPr>
        <w:b/>
        <w:bCs/>
        <w:color w:val="FFFFFF" w:themeColor="background1"/>
      </w:rPr>
      <w:tblPr/>
      <w:tcPr>
        <w:tcBorders>
          <w:left w:val="nil"/>
          <w:right w:val="nil"/>
          <w:insideH w:val="nil"/>
          <w:insideV w:val="nil"/>
        </w:tcBorders>
        <w:shd w:val="clear" w:color="auto" w:fill="DDDDD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B2B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B2B2" w:themeFill="accent2"/>
      </w:tcPr>
    </w:tblStylePr>
    <w:tblStylePr w:type="lastCol">
      <w:rPr>
        <w:b/>
        <w:bCs/>
        <w:color w:val="FFFFFF" w:themeColor="background1"/>
      </w:rPr>
      <w:tblPr/>
      <w:tcPr>
        <w:tcBorders>
          <w:left w:val="nil"/>
          <w:right w:val="nil"/>
          <w:insideH w:val="nil"/>
          <w:insideV w:val="nil"/>
        </w:tcBorders>
        <w:shd w:val="clear" w:color="auto" w:fill="B2B2B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69696"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69696" w:themeFill="accent3"/>
      </w:tcPr>
    </w:tblStylePr>
    <w:tblStylePr w:type="lastCol">
      <w:rPr>
        <w:b/>
        <w:bCs/>
        <w:color w:val="FFFFFF" w:themeColor="background1"/>
      </w:rPr>
      <w:tblPr/>
      <w:tcPr>
        <w:tcBorders>
          <w:left w:val="nil"/>
          <w:right w:val="nil"/>
          <w:insideH w:val="nil"/>
          <w:insideV w:val="nil"/>
        </w:tcBorders>
        <w:shd w:val="clear" w:color="auto" w:fill="96969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808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8080" w:themeFill="accent4"/>
      </w:tcPr>
    </w:tblStylePr>
    <w:tblStylePr w:type="lastCol">
      <w:rPr>
        <w:b/>
        <w:bCs/>
        <w:color w:val="FFFFFF" w:themeColor="background1"/>
      </w:rPr>
      <w:tblPr/>
      <w:tcPr>
        <w:tcBorders>
          <w:left w:val="nil"/>
          <w:right w:val="nil"/>
          <w:insideH w:val="nil"/>
          <w:insideV w:val="nil"/>
        </w:tcBorders>
        <w:shd w:val="clear" w:color="auto" w:fill="80808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FFFFFF"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FFFFFF"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rsid w:val="00B12EF5"/>
    <w:rPr>
      <w:rFonts w:asciiTheme="minorHAnsi" w:eastAsiaTheme="minorEastAsia" w:hAnsiTheme="minorHAnsi" w:cstheme="minorBidi"/>
      <w:sz w:val="24"/>
      <w:szCs w:val="30"/>
      <w:shd w:val="pct20" w:color="auto" w:fill="auto"/>
    </w:rPr>
  </w:style>
  <w:style w:type="paragraph" w:styleId="NoSpacing">
    <w:name w:val="No Spacing"/>
    <w:uiPriority w:val="98"/>
    <w:semiHidden/>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customStyle="1" w:styleId="NoteHeading1">
    <w:name w:val="Note Heading1"/>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1"/>
    <w:uiPriority w:val="98"/>
    <w:semiHidden/>
    <w:rsid w:val="00B12EF5"/>
    <w:rPr>
      <w:rFonts w:asciiTheme="minorHAnsi" w:eastAsiaTheme="minorEastAsia" w:hAnsiTheme="minorHAnsi" w:cstheme="minorBidi"/>
      <w:szCs w:val="24"/>
    </w:rPr>
  </w:style>
  <w:style w:type="character" w:styleId="PageNumber">
    <w:name w:val="page number"/>
    <w:basedOn w:val="DefaultParagraphFont"/>
    <w:uiPriority w:val="98"/>
    <w:rsid w:val="00B12EF5"/>
    <w:rPr>
      <w:rFonts w:asciiTheme="minorHAnsi" w:eastAsiaTheme="minorEastAsia" w:hAnsiTheme="minorHAnsi" w:cstheme="minorBidi"/>
      <w:sz w:val="18"/>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B12EF5"/>
    <w:rPr>
      <w:rFonts w:asciiTheme="minorHAnsi" w:eastAsiaTheme="minorEastAsia" w:hAnsiTheme="minorHAnsi" w:cstheme="minorBidi"/>
      <w:sz w:val="21"/>
      <w:szCs w:val="26"/>
    </w:rPr>
  </w:style>
  <w:style w:type="paragraph" w:styleId="Quote">
    <w:name w:val="Quote"/>
    <w:basedOn w:val="Normal"/>
    <w:next w:val="Normal"/>
    <w:link w:val="QuoteChar"/>
    <w:uiPriority w:val="98"/>
    <w:semiHidden/>
    <w:rsid w:val="00B12EF5"/>
    <w:rPr>
      <w:i/>
      <w:iCs/>
      <w:color w:val="000000" w:themeColor="text1"/>
    </w:rPr>
  </w:style>
  <w:style w:type="character" w:customStyle="1" w:styleId="QuoteChar">
    <w:name w:val="Quote Char"/>
    <w:basedOn w:val="DefaultParagraphFont"/>
    <w:link w:val="Quote"/>
    <w:uiPriority w:val="98"/>
    <w:semiHidden/>
    <w:rsid w:val="00B12EF5"/>
    <w:rPr>
      <w:rFonts w:asciiTheme="minorHAnsi" w:eastAsiaTheme="minorEastAsia" w:hAnsiTheme="minorHAnsi" w:cstheme="minorBidi"/>
      <w:i/>
      <w:iCs/>
      <w:color w:val="000000" w:themeColor="text1"/>
      <w:szCs w:val="24"/>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B12EF5"/>
    <w:rPr>
      <w:rFonts w:asciiTheme="minorHAnsi" w:eastAsiaTheme="minorEastAsia" w:hAnsiTheme="minorHAnsi" w:cstheme="minorBidi"/>
      <w:szCs w:val="24"/>
    </w:rPr>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B12EF5"/>
    <w:rPr>
      <w:rFonts w:asciiTheme="minorHAnsi" w:eastAsiaTheme="minorEastAsia" w:hAnsiTheme="minorHAnsi" w:cstheme="minorBidi"/>
      <w:szCs w:val="24"/>
    </w:rPr>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paragraph" w:styleId="Subtitle">
    <w:name w:val="Subtitle"/>
    <w:basedOn w:val="Normal"/>
    <w:next w:val="Normal"/>
    <w:link w:val="SubtitleChar"/>
    <w:uiPriority w:val="98"/>
    <w:semiHidden/>
    <w:rsid w:val="00B12EF5"/>
    <w:pPr>
      <w:numPr>
        <w:ilvl w:val="1"/>
      </w:numPr>
    </w:pPr>
    <w:rPr>
      <w:i/>
      <w:iCs/>
      <w:color w:val="DDDDDD" w:themeColor="accent1"/>
      <w:spacing w:val="15"/>
      <w:sz w:val="24"/>
      <w:szCs w:val="30"/>
    </w:rPr>
  </w:style>
  <w:style w:type="character" w:customStyle="1" w:styleId="SubtitleChar">
    <w:name w:val="Subtitle Char"/>
    <w:basedOn w:val="DefaultParagraphFont"/>
    <w:link w:val="Subtitle"/>
    <w:uiPriority w:val="98"/>
    <w:semiHidden/>
    <w:rsid w:val="00B12EF5"/>
    <w:rPr>
      <w:rFonts w:asciiTheme="minorHAnsi" w:eastAsiaTheme="minorEastAsia" w:hAnsiTheme="minorHAnsi" w:cstheme="minorBidi"/>
      <w:i/>
      <w:iCs/>
      <w:color w:val="DDDDDD" w:themeColor="accent1"/>
      <w:spacing w:val="15"/>
      <w:sz w:val="24"/>
      <w:szCs w:val="30"/>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B12EF5"/>
    <w:rPr>
      <w:rFonts w:asciiTheme="minorHAnsi" w:eastAsiaTheme="minorEastAsia" w:hAnsiTheme="minorHAnsi" w:cstheme="minorBidi"/>
      <w:smallCaps/>
      <w:color w:val="B2B2B2" w:themeColor="accent2"/>
      <w:szCs w:val="24"/>
      <w:u w:val="singl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98"/>
    <w:rsid w:val="00B12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8"/>
    <w:semiHidden/>
    <w:rsid w:val="00B12EF5"/>
    <w:pPr>
      <w:pBdr>
        <w:bottom w:val="single" w:sz="8" w:space="4" w:color="DDDDDD" w:themeColor="accent1"/>
      </w:pBdr>
      <w:spacing w:after="300" w:line="240" w:lineRule="auto"/>
      <w:contextualSpacing/>
    </w:pPr>
    <w:rPr>
      <w:color w:val="000000" w:themeColor="text2" w:themeShade="BF"/>
      <w:spacing w:val="5"/>
      <w:kern w:val="28"/>
      <w:sz w:val="52"/>
      <w:szCs w:val="58"/>
    </w:rPr>
  </w:style>
  <w:style w:type="character" w:customStyle="1" w:styleId="TitleChar">
    <w:name w:val="Title Char"/>
    <w:basedOn w:val="DefaultParagraphFont"/>
    <w:link w:val="Title"/>
    <w:uiPriority w:val="98"/>
    <w:semiHidden/>
    <w:rsid w:val="00B12EF5"/>
    <w:rPr>
      <w:rFonts w:asciiTheme="minorHAnsi" w:eastAsiaTheme="minorEastAsia" w:hAnsiTheme="minorHAnsi" w:cstheme="minorBidi"/>
      <w:color w:val="000000" w:themeColor="text2" w:themeShade="BF"/>
      <w:spacing w:val="5"/>
      <w:kern w:val="28"/>
      <w:sz w:val="52"/>
      <w:szCs w:val="58"/>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98"/>
    <w:rsid w:val="0090150D"/>
    <w:pPr>
      <w:tabs>
        <w:tab w:val="left" w:pos="782"/>
        <w:tab w:val="right" w:leader="dot" w:pos="9072"/>
      </w:tabs>
      <w:spacing w:after="0"/>
      <w:ind w:left="782" w:hanging="782"/>
    </w:pPr>
    <w:rPr>
      <w:caps/>
      <w:noProof/>
      <w:lang w:eastAsia="zh-CN"/>
    </w:rPr>
  </w:style>
  <w:style w:type="paragraph" w:styleId="TOC2">
    <w:name w:val="toc 2"/>
    <w:basedOn w:val="TOC1"/>
    <w:uiPriority w:val="98"/>
    <w:rsid w:val="0090150D"/>
    <w:rPr>
      <w:caps w:val="0"/>
    </w:rPr>
  </w:style>
  <w:style w:type="paragraph" w:styleId="TOC3">
    <w:name w:val="toc 3"/>
    <w:basedOn w:val="TOC1"/>
    <w:uiPriority w:val="98"/>
    <w:rsid w:val="0090150D"/>
    <w:pPr>
      <w:tabs>
        <w:tab w:val="clear" w:pos="782"/>
      </w:tabs>
      <w:ind w:left="0" w:firstLine="0"/>
    </w:pPr>
  </w:style>
  <w:style w:type="paragraph" w:styleId="TOC4">
    <w:name w:val="toc 4"/>
    <w:basedOn w:val="TOC1"/>
    <w:uiPriority w:val="98"/>
    <w:rsid w:val="0090150D"/>
    <w:pPr>
      <w:tabs>
        <w:tab w:val="clear" w:pos="782"/>
      </w:tabs>
      <w:ind w:left="0" w:firstLine="0"/>
    </w:pPr>
    <w:rPr>
      <w:caps w:val="0"/>
    </w:rPr>
  </w:style>
  <w:style w:type="paragraph" w:styleId="TOC5">
    <w:name w:val="toc 5"/>
    <w:basedOn w:val="Normal"/>
    <w:next w:val="Normal"/>
    <w:uiPriority w:val="98"/>
    <w:rsid w:val="00B12EF5"/>
    <w:pPr>
      <w:spacing w:after="100"/>
      <w:ind w:left="720"/>
    </w:pPr>
  </w:style>
  <w:style w:type="paragraph" w:styleId="TOC6">
    <w:name w:val="toc 6"/>
    <w:basedOn w:val="Normal"/>
    <w:next w:val="Normal"/>
    <w:uiPriority w:val="98"/>
    <w:rsid w:val="00B12EF5"/>
    <w:pPr>
      <w:spacing w:after="100"/>
      <w:ind w:left="900"/>
    </w:pPr>
  </w:style>
  <w:style w:type="paragraph" w:styleId="TOC7">
    <w:name w:val="toc 7"/>
    <w:basedOn w:val="Normal"/>
    <w:next w:val="Normal"/>
    <w:uiPriority w:val="98"/>
    <w:rsid w:val="00B12EF5"/>
    <w:pPr>
      <w:spacing w:after="100"/>
      <w:ind w:left="1080"/>
    </w:pPr>
  </w:style>
  <w:style w:type="paragraph" w:styleId="TOC8">
    <w:name w:val="toc 8"/>
    <w:basedOn w:val="Normal"/>
    <w:next w:val="Normal"/>
    <w:uiPriority w:val="98"/>
    <w:rsid w:val="00B12EF5"/>
    <w:pPr>
      <w:spacing w:after="100"/>
      <w:ind w:left="1260"/>
    </w:pPr>
  </w:style>
  <w:style w:type="paragraph" w:styleId="TOC9">
    <w:name w:val="toc 9"/>
    <w:basedOn w:val="Normal"/>
    <w:next w:val="Normal"/>
    <w:uiPriority w:val="98"/>
    <w:rsid w:val="00B12EF5"/>
    <w:pPr>
      <w:spacing w:after="100"/>
      <w:ind w:left="1440"/>
    </w:pPr>
  </w:style>
  <w:style w:type="paragraph" w:styleId="TOCHeading">
    <w:name w:val="TOC Heading"/>
    <w:basedOn w:val="Heading1"/>
    <w:next w:val="Normal"/>
    <w:uiPriority w:val="98"/>
    <w:rsid w:val="00B12EF5"/>
    <w:pPr>
      <w:keepNext/>
      <w:keepLines/>
      <w:numPr>
        <w:numId w:val="0"/>
      </w:numPr>
      <w:suppressAutoHyphens w:val="0"/>
      <w:spacing w:before="480" w:after="0"/>
      <w:outlineLvl w:val="9"/>
    </w:pPr>
    <w:rPr>
      <w:b/>
      <w:color w:val="A5A5A5" w:themeColor="accent1" w:themeShade="BF"/>
      <w:kern w:val="0"/>
      <w:sz w:val="28"/>
      <w:szCs w:val="34"/>
      <w:lang w:eastAsia="en-GB"/>
    </w:rPr>
  </w:style>
  <w:style w:type="character" w:customStyle="1" w:styleId="StandardAshurstChar">
    <w:name w:val="StandardAshurst Char"/>
    <w:basedOn w:val="DefaultParagraphFont"/>
    <w:link w:val="StandardAshurst"/>
    <w:rsid w:val="00B12EF5"/>
    <w:rPr>
      <w:rFonts w:asciiTheme="minorHAnsi" w:eastAsiaTheme="minorEastAsia" w:hAnsiTheme="minorHAnsi" w:cstheme="minorBidi"/>
      <w:szCs w:val="24"/>
    </w:rPr>
  </w:style>
  <w:style w:type="paragraph" w:customStyle="1" w:styleId="Alt2RecitalsAshurst">
    <w:name w:val="Alt2_RecitalsAshurst"/>
    <w:basedOn w:val="NormalAshurst"/>
    <w:rsid w:val="009B082F"/>
    <w:pPr>
      <w:numPr>
        <w:numId w:val="33"/>
      </w:numPr>
      <w:outlineLvl w:val="0"/>
    </w:pPr>
    <w:rPr>
      <w:lang w:eastAsia="zh-CN"/>
    </w:rPr>
  </w:style>
  <w:style w:type="paragraph" w:customStyle="1" w:styleId="AltPartiesAshurst">
    <w:name w:val="AltPartiesAshurst"/>
    <w:basedOn w:val="NormalAshurst"/>
    <w:rsid w:val="009B082F"/>
    <w:pPr>
      <w:numPr>
        <w:numId w:val="34"/>
      </w:numPr>
      <w:outlineLvl w:val="0"/>
    </w:pPr>
    <w:rPr>
      <w:lang w:eastAsia="zh-CN"/>
    </w:rPr>
  </w:style>
  <w:style w:type="table" w:customStyle="1" w:styleId="MPTTable1">
    <w:name w:val="MPT Table 1"/>
    <w:basedOn w:val="TableNormal"/>
    <w:rsid w:val="00290483"/>
    <w:rPr>
      <w:rFonts w:eastAsiaTheme="minorHAnsi"/>
      <w:lang w:eastAsia="zh-CN"/>
    </w:rPr>
    <w:tblPr>
      <w:tblBorders>
        <w:bottom w:val="single" w:sz="8" w:space="0" w:color="FFFFFF" w:themeColor="background1"/>
        <w:insideH w:val="single" w:sz="8" w:space="0" w:color="FFFFFF" w:themeColor="background1"/>
        <w:insideV w:val="single" w:sz="8" w:space="0" w:color="FFFFFF" w:themeColor="background1"/>
      </w:tblBorders>
      <w:tblCellMar>
        <w:top w:w="85" w:type="dxa"/>
        <w:bottom w:w="85" w:type="dxa"/>
      </w:tblCellMar>
    </w:tblPr>
    <w:tcPr>
      <w:shd w:val="clear" w:color="auto" w:fill="F8F8F8" w:themeFill="accent1" w:themeFillTint="33"/>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shd w:val="clear" w:color="auto" w:fill="F8F8F8" w:themeFill="accent1" w:themeFillTint="33"/>
      </w:tcPr>
    </w:tblStylePr>
  </w:style>
  <w:style w:type="table" w:customStyle="1" w:styleId="MPTTable2">
    <w:name w:val="MPT Table 2"/>
    <w:basedOn w:val="MPTTable1"/>
    <w:rsid w:val="00453B0E"/>
    <w:tblPr>
      <w:tblBorders>
        <w:bottom w:val="single" w:sz="8" w:space="0" w:color="DDDDDD" w:themeColor="accent1"/>
        <w:insideH w:val="single" w:sz="8" w:space="0" w:color="DDDDDD" w:themeColor="accent1"/>
        <w:insideV w:val="none" w:sz="0" w:space="0" w:color="auto"/>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shd w:val="clear" w:color="auto" w:fill="F8F8F8" w:themeFill="accent1" w:themeFillTint="33"/>
      </w:tcPr>
    </w:tblStylePr>
  </w:style>
  <w:style w:type="table" w:customStyle="1" w:styleId="MPTTable3">
    <w:name w:val="MPT Table 3"/>
    <w:basedOn w:val="MPTTable1"/>
    <w:rsid w:val="00453B0E"/>
    <w:tblPr>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shd w:val="clear" w:color="auto" w:fill="F8F8F8" w:themeFill="accent1" w:themeFillTint="33"/>
      </w:tcPr>
    </w:tblStylePr>
  </w:style>
  <w:style w:type="table" w:customStyle="1" w:styleId="MPTTable4">
    <w:name w:val="MPT Table 4"/>
    <w:basedOn w:val="MPTTable1"/>
    <w:rsid w:val="00453B0E"/>
    <w:tblPr>
      <w:tblStyleRowBandSize w:val="1"/>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nil"/>
          <w:insideV w:val="nil"/>
          <w:tl2br w:val="nil"/>
          <w:tr2bl w:val="nil"/>
        </w:tcBorders>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bottom w:val="single" w:sz="8" w:space="0" w:color="DDDDDD" w:themeColor="accent1"/>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F8F8F8" w:themeFill="accent1" w:themeFillTint="33"/>
      </w:tcPr>
    </w:tblStylePr>
  </w:style>
  <w:style w:type="table" w:customStyle="1" w:styleId="MPTTable5">
    <w:name w:val="MPT Table 5"/>
    <w:basedOn w:val="MPTTable1"/>
    <w:rsid w:val="00453B0E"/>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F8F8F8" w:themeFill="accent1" w:themeFillTint="33"/>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nil"/>
          <w:insideV w:val="nil"/>
          <w:tl2br w:val="nil"/>
          <w:tr2bl w:val="nil"/>
        </w:tcBorders>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firstCol">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F8F8F8" w:themeFill="accent1" w:themeFillTint="33"/>
      </w:tcPr>
    </w:tblStylePr>
    <w:tblStylePr w:type="lastCol">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band2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band1Horz">
      <w:tblPr/>
      <w:tcPr>
        <w:tcBorders>
          <w:top w:val="nil"/>
          <w:left w:val="nil"/>
          <w:bottom w:val="single" w:sz="8" w:space="0" w:color="DDDDDD" w:themeColor="accent1"/>
          <w:right w:val="single" w:sz="8" w:space="0" w:color="DDDDDD" w:themeColor="accent1"/>
          <w:insideH w:val="nil"/>
          <w:insideV w:val="nil"/>
          <w:tl2br w:val="nil"/>
          <w:tr2bl w:val="nil"/>
        </w:tcBorders>
        <w:shd w:val="clear" w:color="auto" w:fill="auto"/>
      </w:tcPr>
    </w:tblStylePr>
    <w:tblStylePr w:type="band2Horz">
      <w:tblPr/>
      <w:tcPr>
        <w:tcBorders>
          <w:top w:val="nil"/>
          <w:left w:val="nil"/>
          <w:bottom w:val="single" w:sz="8" w:space="0" w:color="DDDDDD" w:themeColor="accent1"/>
          <w:right w:val="single" w:sz="8" w:space="0" w:color="DDDDDD" w:themeColor="accent1"/>
          <w:insideH w:val="nil"/>
          <w:insideV w:val="nil"/>
          <w:tl2br w:val="nil"/>
          <w:tr2bl w:val="nil"/>
        </w:tcBorders>
        <w:shd w:val="clear" w:color="auto" w:fill="auto"/>
      </w:tcPr>
    </w:tblStylePr>
  </w:style>
  <w:style w:type="table" w:customStyle="1" w:styleId="MPTTableSlate1">
    <w:name w:val="MPT Table Slate 1"/>
    <w:basedOn w:val="MPTTable1"/>
    <w:rsid w:val="00453B0E"/>
    <w:tblPr>
      <w:tblStyleRowBandSize w:val="1"/>
    </w:tblPr>
    <w:tcPr>
      <w:shd w:val="clear" w:color="auto" w:fill="CCCCCC" w:themeFill="text1" w:themeFillTint="33"/>
    </w:tcPr>
    <w:tblStylePr w:type="firstRow">
      <w:pPr>
        <w:wordWrap/>
        <w:spacing w:beforeLines="0" w:before="0" w:beforeAutospacing="0" w:afterLines="0" w:after="0" w:afterAutospacing="0" w:line="240" w:lineRule="auto"/>
        <w:jc w:val="left"/>
      </w:pPr>
      <w:rPr>
        <w:rFonts w:asciiTheme="minorHAnsi" w:hAnsiTheme="minorHAnsi"/>
        <w:b/>
        <w:caps/>
        <w:smallCaps w:val="0"/>
        <w:color w:val="FFFFFF" w:themeColor="background1"/>
        <w:sz w:val="18"/>
      </w:rPr>
      <w:tblPr/>
      <w:tcPr>
        <w:tcBorders>
          <w:top w:val="nil"/>
          <w:bottom w:val="single" w:sz="8" w:space="0" w:color="FFFFFF" w:themeColor="background1"/>
          <w:insideH w:val="single" w:sz="8" w:space="0" w:color="FFFFFF" w:themeColor="background1"/>
          <w:insideV w:val="single" w:sz="8" w:space="0" w:color="FFFFFF" w:themeColor="background1"/>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shd w:val="clear" w:color="auto" w:fill="CCCCCC" w:themeFill="text1" w:themeFillTint="33"/>
      </w:tcPr>
    </w:tblStylePr>
    <w:tblStylePr w:type="band1Horz">
      <w:tblPr/>
      <w:tcPr>
        <w:shd w:val="clear" w:color="auto" w:fill="CCCCCC" w:themeFill="text1" w:themeFillTint="33"/>
      </w:tcPr>
    </w:tblStylePr>
  </w:style>
  <w:style w:type="table" w:customStyle="1" w:styleId="MPTTableSlate2">
    <w:name w:val="MPT Table Slate 2"/>
    <w:basedOn w:val="MPTTable2"/>
    <w:rsid w:val="00453B0E"/>
    <w:tblPr>
      <w:tblBorders>
        <w:bottom w:val="single" w:sz="8" w:space="0" w:color="000000" w:themeColor="text1"/>
        <w:insideH w:val="single" w:sz="8" w:space="0" w:color="000000" w:themeColor="text1"/>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single" w:sz="4" w:space="0" w:color="000000" w:themeColor="text1"/>
          <w:insideV w:val="nil"/>
          <w:tl2br w:val="nil"/>
          <w:tr2bl w:val="nil"/>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bottom w:val="single" w:sz="8" w:space="0" w:color="000000" w:themeColor="text1"/>
        </w:tcBorders>
        <w:shd w:val="clear" w:color="auto" w:fill="CCCCCC" w:themeFill="text1" w:themeFillTint="33"/>
      </w:tcPr>
    </w:tblStylePr>
  </w:style>
  <w:style w:type="table" w:customStyle="1" w:styleId="MPTTableSlate3">
    <w:name w:val="MPT Table Slate 3"/>
    <w:basedOn w:val="MPTTable3"/>
    <w:rsid w:val="00453B0E"/>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nil"/>
          <w:tl2br w:val="nil"/>
          <w:tr2bl w:val="nil"/>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bottom w:val="single" w:sz="8" w:space="0" w:color="000000" w:themeColor="text1"/>
        </w:tcBorders>
        <w:shd w:val="clear" w:color="auto" w:fill="CCCCCC" w:themeFill="text1" w:themeFillTint="33"/>
      </w:tcPr>
    </w:tblStylePr>
  </w:style>
  <w:style w:type="table" w:customStyle="1" w:styleId="MPTTableSlate4">
    <w:name w:val="MPT Table Slate 4"/>
    <w:basedOn w:val="MPTTable4"/>
    <w:rsid w:val="00453B0E"/>
    <w:tblPr>
      <w:tblBorders>
        <w:bottom w:val="single" w:sz="4" w:space="0" w:color="000000" w:themeColor="text1"/>
        <w:insideH w:val="none" w:sz="0" w:space="0" w:color="auto"/>
        <w:insideV w:val="none" w:sz="0" w:space="0" w:color="auto"/>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nil"/>
          <w:insideV w:val="nil"/>
          <w:tl2br w:val="nil"/>
          <w:tr2bl w:val="nil"/>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top w:val="nil"/>
          <w:left w:val="nil"/>
          <w:bottom w:val="single" w:sz="8" w:space="0" w:color="000000" w:themeColor="text1"/>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CCCCCC" w:themeFill="text1" w:themeFillTint="33"/>
      </w:tcPr>
    </w:tblStylePr>
  </w:style>
  <w:style w:type="table" w:customStyle="1" w:styleId="MPTTableSlate5">
    <w:name w:val="MPT Table Slate 5"/>
    <w:basedOn w:val="MPTTable5"/>
    <w:rsid w:val="00453B0E"/>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l2br w:val="nil"/>
          <w:tr2bl w:val="nil"/>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firstCol">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CCCCCC" w:themeFill="text1" w:themeFillTint="33"/>
      </w:tcPr>
    </w:tblStylePr>
    <w:tblStylePr w:type="lastCol">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band2Vert">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band1Horz">
      <w:tblPr/>
      <w:tcPr>
        <w:tcBorders>
          <w:top w:val="nil"/>
          <w:left w:val="nil"/>
          <w:bottom w:val="single" w:sz="8" w:space="0" w:color="000000" w:themeColor="text1"/>
          <w:right w:val="nil"/>
          <w:insideH w:val="nil"/>
          <w:insideV w:val="nil"/>
          <w:tl2br w:val="nil"/>
          <w:tr2bl w:val="nil"/>
        </w:tcBorders>
        <w:shd w:val="clear" w:color="auto" w:fill="auto"/>
      </w:tcPr>
    </w:tblStylePr>
    <w:tblStylePr w:type="band2Horz">
      <w:tblPr/>
      <w:tcPr>
        <w:tcBorders>
          <w:top w:val="nil"/>
          <w:left w:val="nil"/>
          <w:bottom w:val="single" w:sz="8" w:space="0" w:color="000000" w:themeColor="text1"/>
          <w:right w:val="nil"/>
          <w:insideH w:val="nil"/>
          <w:insideV w:val="nil"/>
          <w:tl2br w:val="nil"/>
          <w:tr2bl w:val="nil"/>
        </w:tcBorders>
        <w:shd w:val="clear" w:color="auto" w:fill="auto"/>
      </w:tcPr>
    </w:tblStylePr>
  </w:style>
  <w:style w:type="paragraph" w:customStyle="1" w:styleId="DefSubSubAshurst">
    <w:name w:val="DefSubSubAshurst"/>
    <w:basedOn w:val="NormalAshurst"/>
    <w:uiPriority w:val="26"/>
    <w:rsid w:val="00AB24AD"/>
    <w:pPr>
      <w:numPr>
        <w:ilvl w:val="3"/>
        <w:numId w:val="30"/>
      </w:numPr>
    </w:pPr>
  </w:style>
  <w:style w:type="paragraph" w:customStyle="1" w:styleId="NormalOCAshurst">
    <w:name w:val="NormalOCAshurst"/>
    <w:link w:val="NormalOCAshurstChar"/>
    <w:qFormat/>
    <w:rsid w:val="006A0136"/>
    <w:pPr>
      <w:suppressAutoHyphens/>
      <w:spacing w:after="200"/>
      <w:jc w:val="both"/>
    </w:pPr>
    <w:rPr>
      <w:rFonts w:ascii="Times New Roman" w:eastAsia="Times New Roman" w:hAnsi="Times New Roman" w:cs="Times New Roman"/>
      <w:sz w:val="20"/>
      <w:szCs w:val="20"/>
      <w:lang w:eastAsia="en-GB"/>
    </w:rPr>
  </w:style>
  <w:style w:type="character" w:customStyle="1" w:styleId="NormalOCAshurstChar">
    <w:name w:val="NormalOCAshurst Char"/>
    <w:link w:val="NormalOCAshurst"/>
    <w:rsid w:val="006A0136"/>
    <w:rPr>
      <w:rFonts w:ascii="Times New Roman" w:eastAsia="Times New Roman" w:hAnsi="Times New Roman" w:cs="Times New Roman"/>
      <w:sz w:val="20"/>
      <w:szCs w:val="20"/>
      <w:lang w:eastAsia="en-GB"/>
    </w:rPr>
  </w:style>
  <w:style w:type="paragraph" w:customStyle="1" w:styleId="StandardOCAshurst">
    <w:name w:val="StandardOCAshurst"/>
    <w:basedOn w:val="NormalOCAshurst"/>
    <w:link w:val="StandardOCAshurstChar"/>
    <w:qFormat/>
    <w:rsid w:val="006A0136"/>
    <w:pPr>
      <w:spacing w:after="0"/>
    </w:pPr>
  </w:style>
  <w:style w:type="character" w:customStyle="1" w:styleId="StandardOCAshurstChar">
    <w:name w:val="StandardOCAshurst Char"/>
    <w:basedOn w:val="NormalOCAshurstChar"/>
    <w:link w:val="StandardOCAshurst"/>
    <w:rsid w:val="006A0136"/>
    <w:rPr>
      <w:rFonts w:ascii="Times New Roman" w:eastAsia="Times New Roman" w:hAnsi="Times New Roman" w:cs="Times New Roman"/>
      <w:sz w:val="20"/>
      <w:szCs w:val="20"/>
      <w:lang w:eastAsia="en-GB"/>
    </w:rPr>
  </w:style>
  <w:style w:type="paragraph" w:customStyle="1" w:styleId="AltH5OCAshurst">
    <w:name w:val="AltH5OCAshurst"/>
    <w:basedOn w:val="NormalOCAshurst"/>
    <w:uiPriority w:val="40"/>
    <w:rsid w:val="006A0136"/>
    <w:pPr>
      <w:numPr>
        <w:ilvl w:val="4"/>
        <w:numId w:val="35"/>
      </w:numPr>
      <w:tabs>
        <w:tab w:val="clear" w:pos="1843"/>
        <w:tab w:val="num" w:pos="2653"/>
        <w:tab w:val="num" w:pos="3600"/>
      </w:tabs>
      <w:ind w:left="2653" w:hanging="623"/>
      <w:outlineLvl w:val="4"/>
    </w:pPr>
    <w:rPr>
      <w:rFonts w:eastAsia="Microsoft JhengHei"/>
    </w:rPr>
  </w:style>
  <w:style w:type="paragraph" w:customStyle="1" w:styleId="AltH1OCAshurst">
    <w:name w:val="AltH1OCAshurst"/>
    <w:basedOn w:val="NormalOCAshurst"/>
    <w:uiPriority w:val="40"/>
    <w:rsid w:val="006A0136"/>
    <w:pPr>
      <w:numPr>
        <w:numId w:val="35"/>
      </w:numPr>
      <w:tabs>
        <w:tab w:val="clear" w:pos="709"/>
        <w:tab w:val="num" w:pos="782"/>
        <w:tab w:val="num" w:pos="3277"/>
      </w:tabs>
      <w:ind w:left="782" w:hanging="782"/>
      <w:outlineLvl w:val="0"/>
    </w:pPr>
    <w:rPr>
      <w:rFonts w:eastAsia="Microsoft JhengHei"/>
    </w:rPr>
  </w:style>
  <w:style w:type="paragraph" w:customStyle="1" w:styleId="AltH2OCAshurst">
    <w:name w:val="AltH2OCAshurst"/>
    <w:basedOn w:val="NormalOCAshurst"/>
    <w:uiPriority w:val="40"/>
    <w:rsid w:val="006A0136"/>
    <w:pPr>
      <w:numPr>
        <w:ilvl w:val="1"/>
        <w:numId w:val="35"/>
      </w:numPr>
      <w:tabs>
        <w:tab w:val="clear" w:pos="709"/>
        <w:tab w:val="num" w:pos="782"/>
        <w:tab w:val="num" w:pos="1440"/>
      </w:tabs>
      <w:ind w:left="782" w:hanging="782"/>
      <w:outlineLvl w:val="1"/>
    </w:pPr>
    <w:rPr>
      <w:rFonts w:eastAsia="Microsoft JhengHei"/>
    </w:rPr>
  </w:style>
  <w:style w:type="paragraph" w:customStyle="1" w:styleId="AltH3OCAshurst">
    <w:name w:val="AltH3OCAshurst"/>
    <w:basedOn w:val="NormalOCAshurst"/>
    <w:uiPriority w:val="40"/>
    <w:rsid w:val="006A0136"/>
    <w:pPr>
      <w:numPr>
        <w:ilvl w:val="2"/>
        <w:numId w:val="35"/>
      </w:numPr>
      <w:tabs>
        <w:tab w:val="clear" w:pos="709"/>
        <w:tab w:val="num" w:pos="1406"/>
        <w:tab w:val="num" w:pos="2160"/>
      </w:tabs>
      <w:ind w:left="1406" w:hanging="624"/>
      <w:outlineLvl w:val="2"/>
    </w:pPr>
    <w:rPr>
      <w:rFonts w:eastAsia="Microsoft JhengHei"/>
    </w:rPr>
  </w:style>
  <w:style w:type="paragraph" w:customStyle="1" w:styleId="AltH4OCAshurst">
    <w:name w:val="AltH4OCAshurst"/>
    <w:basedOn w:val="NormalOCAshurst"/>
    <w:uiPriority w:val="40"/>
    <w:rsid w:val="006A0136"/>
    <w:pPr>
      <w:numPr>
        <w:ilvl w:val="3"/>
        <w:numId w:val="35"/>
      </w:numPr>
      <w:tabs>
        <w:tab w:val="clear" w:pos="1276"/>
        <w:tab w:val="num" w:pos="2030"/>
        <w:tab w:val="num" w:pos="2880"/>
      </w:tabs>
      <w:ind w:left="2030" w:hanging="624"/>
      <w:outlineLvl w:val="3"/>
    </w:pPr>
    <w:rPr>
      <w:rFonts w:eastAsia="Microsoft JhengHei"/>
    </w:rPr>
  </w:style>
  <w:style w:type="paragraph" w:customStyle="1" w:styleId="AltH6OCAshurst">
    <w:name w:val="AltH6OCAshurst"/>
    <w:basedOn w:val="NormalOCAshurst"/>
    <w:uiPriority w:val="40"/>
    <w:rsid w:val="006A0136"/>
    <w:pPr>
      <w:numPr>
        <w:ilvl w:val="5"/>
        <w:numId w:val="35"/>
      </w:numPr>
      <w:tabs>
        <w:tab w:val="clear" w:pos="2410"/>
        <w:tab w:val="num" w:pos="3277"/>
        <w:tab w:val="num" w:pos="4320"/>
      </w:tabs>
      <w:ind w:left="3277" w:hanging="624"/>
      <w:outlineLvl w:val="5"/>
    </w:pPr>
    <w:rPr>
      <w:rFonts w:eastAsia="Microsoft JhengHei"/>
    </w:rPr>
  </w:style>
  <w:style w:type="paragraph" w:customStyle="1" w:styleId="AltH7OCAshurst">
    <w:name w:val="AltH7OCAshurst"/>
    <w:basedOn w:val="NormalOCAshurst"/>
    <w:rsid w:val="006A0136"/>
    <w:pPr>
      <w:numPr>
        <w:ilvl w:val="6"/>
        <w:numId w:val="35"/>
      </w:numPr>
      <w:tabs>
        <w:tab w:val="clear" w:pos="2977"/>
        <w:tab w:val="num" w:pos="0"/>
        <w:tab w:val="num" w:pos="5040"/>
      </w:tabs>
      <w:ind w:left="0" w:firstLine="0"/>
      <w:outlineLvl w:val="6"/>
    </w:pPr>
    <w:rPr>
      <w:rFonts w:eastAsia="Microsoft JhengHei"/>
    </w:rPr>
  </w:style>
  <w:style w:type="paragraph" w:customStyle="1" w:styleId="AltH8OCAshurst">
    <w:name w:val="AltH8OCAshurst"/>
    <w:basedOn w:val="NormalOCAshurst"/>
    <w:uiPriority w:val="40"/>
    <w:rsid w:val="006A0136"/>
    <w:pPr>
      <w:numPr>
        <w:ilvl w:val="7"/>
        <w:numId w:val="35"/>
      </w:numPr>
      <w:tabs>
        <w:tab w:val="clear" w:pos="3544"/>
        <w:tab w:val="num" w:pos="0"/>
        <w:tab w:val="num" w:pos="5760"/>
      </w:tabs>
      <w:ind w:left="0" w:firstLine="0"/>
      <w:outlineLvl w:val="7"/>
    </w:pPr>
    <w:rPr>
      <w:rFonts w:eastAsia="Microsoft JhengHei"/>
    </w:rPr>
  </w:style>
  <w:style w:type="paragraph" w:customStyle="1" w:styleId="DefSubOCAshurst">
    <w:name w:val="DefSubOCAshurst"/>
    <w:basedOn w:val="NormalOCAshurst"/>
    <w:uiPriority w:val="79"/>
    <w:rsid w:val="00606F84"/>
    <w:pPr>
      <w:numPr>
        <w:ilvl w:val="1"/>
        <w:numId w:val="37"/>
      </w:numPr>
      <w:tabs>
        <w:tab w:val="clear" w:pos="709"/>
        <w:tab w:val="num" w:pos="360"/>
        <w:tab w:val="num" w:pos="782"/>
      </w:tabs>
      <w:ind w:left="0" w:firstLine="0"/>
      <w:outlineLvl w:val="0"/>
    </w:pPr>
    <w:rPr>
      <w:rFonts w:eastAsia="Microsoft JhengHei"/>
    </w:rPr>
  </w:style>
  <w:style w:type="paragraph" w:customStyle="1" w:styleId="DefSubSubOCAshurst">
    <w:name w:val="DefSubSubOCAshurst"/>
    <w:basedOn w:val="NormalOCAshurst"/>
    <w:uiPriority w:val="79"/>
    <w:rsid w:val="00606F84"/>
    <w:pPr>
      <w:numPr>
        <w:ilvl w:val="2"/>
        <w:numId w:val="37"/>
      </w:numPr>
      <w:tabs>
        <w:tab w:val="clear" w:pos="1276"/>
        <w:tab w:val="num" w:pos="1406"/>
      </w:tabs>
      <w:ind w:left="1406" w:hanging="624"/>
      <w:outlineLvl w:val="1"/>
    </w:pPr>
    <w:rPr>
      <w:rFonts w:eastAsia="Microsoft JhengHei"/>
    </w:rPr>
  </w:style>
  <w:style w:type="paragraph" w:customStyle="1" w:styleId="DefClauseOCAshurst">
    <w:name w:val="DefClauseOCAshurst"/>
    <w:basedOn w:val="NormalOCAshurst"/>
    <w:next w:val="DefSubOCAshurst"/>
    <w:uiPriority w:val="98"/>
    <w:rsid w:val="00606F84"/>
    <w:pPr>
      <w:numPr>
        <w:numId w:val="37"/>
      </w:numPr>
      <w:tabs>
        <w:tab w:val="num" w:pos="782"/>
      </w:tabs>
      <w:ind w:left="782" w:hanging="782"/>
    </w:pPr>
    <w:rPr>
      <w:rFonts w:eastAsia="Microsoft JhengHei"/>
    </w:rPr>
  </w:style>
  <w:style w:type="paragraph" w:customStyle="1" w:styleId="Style1">
    <w:name w:val="Style1"/>
    <w:basedOn w:val="H3Ashurst"/>
    <w:link w:val="Style1Char"/>
    <w:qFormat/>
    <w:rsid w:val="00953D93"/>
    <w:pPr>
      <w:numPr>
        <w:ilvl w:val="0"/>
        <w:numId w:val="0"/>
      </w:numPr>
      <w:ind w:left="782"/>
    </w:pPr>
  </w:style>
  <w:style w:type="character" w:customStyle="1" w:styleId="H3AshurstChar">
    <w:name w:val="H3Ashurst Char"/>
    <w:basedOn w:val="NormalAshurstChar"/>
    <w:link w:val="H3Ashurst"/>
    <w:uiPriority w:val="1"/>
    <w:rsid w:val="00953D93"/>
  </w:style>
  <w:style w:type="character" w:customStyle="1" w:styleId="Style1Char">
    <w:name w:val="Style1 Char"/>
    <w:basedOn w:val="H3AshurstChar"/>
    <w:link w:val="Style1"/>
    <w:rsid w:val="00953D93"/>
  </w:style>
  <w:style w:type="paragraph" w:styleId="Revision">
    <w:name w:val="Revision"/>
    <w:hidden/>
    <w:semiHidden/>
    <w:rsid w:val="00F13F6A"/>
    <w:rPr>
      <w:rFonts w:ascii="Verdana" w:eastAsia="Times New Roman" w:hAnsi="Verdana" w:cs="Times New Roman"/>
      <w:szCs w:val="18"/>
      <w:lang w:eastAsia="en-GB"/>
    </w:rPr>
  </w:style>
  <w:style w:type="table" w:customStyle="1" w:styleId="TableGrid10">
    <w:name w:val="Table Grid1"/>
    <w:basedOn w:val="TableNormal"/>
    <w:next w:val="TableGrid"/>
    <w:uiPriority w:val="98"/>
    <w:rsid w:val="00ED4B71"/>
    <w:pPr>
      <w:spacing w:before="100" w:after="100"/>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1OCAshurst">
    <w:name w:val="Body1OCAshurst"/>
    <w:basedOn w:val="Normal"/>
    <w:uiPriority w:val="2"/>
    <w:rsid w:val="005E3176"/>
    <w:pPr>
      <w:spacing w:after="200" w:line="240" w:lineRule="auto"/>
      <w:ind w:left="709"/>
    </w:pPr>
    <w:rPr>
      <w:rFonts w:eastAsiaTheme="minorEastAsia" w:cs="Calibri"/>
      <w:sz w:val="20"/>
      <w:szCs w:val="20"/>
      <w:lang w:eastAsia="zh-CN"/>
    </w:rPr>
  </w:style>
  <w:style w:type="paragraph" w:customStyle="1" w:styleId="Times">
    <w:name w:val="Times"/>
    <w:basedOn w:val="Normal"/>
    <w:rsid w:val="003F1726"/>
    <w:pPr>
      <w:tabs>
        <w:tab w:val="left" w:pos="709"/>
        <w:tab w:val="left" w:pos="1276"/>
        <w:tab w:val="left" w:pos="1843"/>
        <w:tab w:val="left" w:pos="2409"/>
        <w:tab w:val="left" w:pos="2976"/>
        <w:tab w:val="left" w:pos="3543"/>
        <w:tab w:val="left" w:pos="4110"/>
      </w:tabs>
      <w:suppressAutoHyphens/>
      <w:spacing w:after="200" w:line="240" w:lineRule="auto"/>
      <w:ind w:left="629"/>
    </w:pPr>
    <w:rPr>
      <w:rFonts w:ascii="Times New Roman" w:hAnsi="Times New Roman"/>
      <w:b/>
      <w:bCs/>
      <w:sz w:val="20"/>
      <w:szCs w:val="20"/>
    </w:rPr>
  </w:style>
  <w:style w:type="paragraph" w:customStyle="1" w:styleId="TableNum1OCAshurst">
    <w:name w:val="TableNum1OCAshurst"/>
    <w:basedOn w:val="NormalOCAshurst"/>
    <w:uiPriority w:val="79"/>
    <w:rsid w:val="00F25F8F"/>
    <w:pPr>
      <w:numPr>
        <w:numId w:val="42"/>
      </w:numPr>
      <w:outlineLvl w:val="0"/>
    </w:pPr>
    <w:rPr>
      <w:rFonts w:asciiTheme="minorHAnsi" w:eastAsiaTheme="minorEastAsia" w:hAnsiTheme="minorHAnsi"/>
      <w:lang w:eastAsia="ja-JP"/>
    </w:rPr>
  </w:style>
  <w:style w:type="paragraph" w:customStyle="1" w:styleId="TableNum2OCAshurst">
    <w:name w:val="TableNum2OCAshurst"/>
    <w:basedOn w:val="NormalOCAshurst"/>
    <w:uiPriority w:val="79"/>
    <w:rsid w:val="00F25F8F"/>
    <w:pPr>
      <w:numPr>
        <w:ilvl w:val="1"/>
        <w:numId w:val="42"/>
      </w:numPr>
      <w:outlineLvl w:val="1"/>
    </w:pPr>
    <w:rPr>
      <w:rFonts w:asciiTheme="minorHAnsi" w:eastAsiaTheme="minorEastAsia" w:hAnsiTheme="minorHAnsi"/>
      <w:lang w:eastAsia="ja-JP"/>
    </w:rPr>
  </w:style>
  <w:style w:type="paragraph" w:customStyle="1" w:styleId="TableNum3OCAshurst">
    <w:name w:val="TableNum3OCAshurst"/>
    <w:basedOn w:val="NormalOCAshurst"/>
    <w:uiPriority w:val="79"/>
    <w:rsid w:val="00F25F8F"/>
    <w:pPr>
      <w:numPr>
        <w:ilvl w:val="2"/>
        <w:numId w:val="42"/>
      </w:numPr>
    </w:pPr>
    <w:rPr>
      <w:rFonts w:asciiTheme="minorHAnsi" w:eastAsiaTheme="minorEastAsia" w:hAnsiTheme="minorHAnsi"/>
      <w:lang w:eastAsia="ja-JP"/>
    </w:rPr>
  </w:style>
  <w:style w:type="paragraph" w:customStyle="1" w:styleId="TableNum4OCAshurst">
    <w:name w:val="TableNum4OCAshurst"/>
    <w:basedOn w:val="NormalOCAshurst"/>
    <w:uiPriority w:val="79"/>
    <w:rsid w:val="00F25F8F"/>
    <w:pPr>
      <w:numPr>
        <w:ilvl w:val="3"/>
        <w:numId w:val="42"/>
      </w:numPr>
    </w:pPr>
    <w:rPr>
      <w:rFonts w:asciiTheme="minorHAnsi" w:eastAsiaTheme="minorEastAsia" w:hAnsiTheme="minorHAnsi"/>
      <w:lang w:eastAsia="ja-JP"/>
    </w:rPr>
  </w:style>
  <w:style w:type="paragraph" w:customStyle="1" w:styleId="TableNum5OCAshurst">
    <w:name w:val="TableNum5OCAshurst"/>
    <w:basedOn w:val="NormalOCAshurst"/>
    <w:uiPriority w:val="79"/>
    <w:rsid w:val="00F25F8F"/>
    <w:pPr>
      <w:numPr>
        <w:ilvl w:val="4"/>
        <w:numId w:val="42"/>
      </w:numPr>
    </w:pPr>
    <w:rPr>
      <w:rFonts w:asciiTheme="minorHAnsi" w:eastAsiaTheme="minorEastAsia" w:hAnsiTheme="minorHAnsi"/>
      <w:lang w:eastAsia="ja-JP"/>
    </w:rPr>
  </w:style>
  <w:style w:type="paragraph" w:customStyle="1" w:styleId="TableNum6OCAshurst">
    <w:name w:val="TableNum6OCAshurst"/>
    <w:basedOn w:val="NormalOCAshurst"/>
    <w:uiPriority w:val="79"/>
    <w:rsid w:val="00F25F8F"/>
    <w:pPr>
      <w:numPr>
        <w:ilvl w:val="5"/>
        <w:numId w:val="42"/>
      </w:numPr>
    </w:pPr>
    <w:rPr>
      <w:rFonts w:asciiTheme="minorHAnsi" w:eastAsiaTheme="minorEastAsia" w:hAnsiTheme="minorHAnsi"/>
      <w:lang w:eastAsia="ja-JP"/>
    </w:rPr>
  </w:style>
  <w:style w:type="paragraph" w:customStyle="1" w:styleId="BulletOCAshurst">
    <w:name w:val="BulletOCAshurst"/>
    <w:basedOn w:val="NormalOCAshurst"/>
    <w:uiPriority w:val="79"/>
    <w:rsid w:val="00CA64A0"/>
    <w:pPr>
      <w:numPr>
        <w:numId w:val="43"/>
      </w:numPr>
    </w:pPr>
    <w:rPr>
      <w:rFonts w:asciiTheme="minorHAnsi" w:eastAsiaTheme="minorEastAsia" w:hAnsiTheme="minorHAnsi"/>
    </w:rPr>
  </w:style>
  <w:style w:type="paragraph" w:customStyle="1" w:styleId="H1OCAshurst">
    <w:name w:val="H1OCAshurst"/>
    <w:basedOn w:val="NormalOCAshurst"/>
    <w:uiPriority w:val="1"/>
    <w:qFormat/>
    <w:rsid w:val="00A16450"/>
    <w:pPr>
      <w:numPr>
        <w:numId w:val="47"/>
      </w:numPr>
      <w:outlineLvl w:val="0"/>
    </w:pPr>
    <w:rPr>
      <w:rFonts w:asciiTheme="minorHAnsi" w:eastAsiaTheme="minorEastAsia" w:hAnsiTheme="minorHAnsi"/>
      <w:b/>
    </w:rPr>
  </w:style>
  <w:style w:type="paragraph" w:customStyle="1" w:styleId="H2OCAshurst">
    <w:name w:val="H2OCAshurst"/>
    <w:basedOn w:val="NormalOCAshurst"/>
    <w:uiPriority w:val="1"/>
    <w:qFormat/>
    <w:rsid w:val="00A16450"/>
    <w:pPr>
      <w:numPr>
        <w:ilvl w:val="1"/>
        <w:numId w:val="47"/>
      </w:numPr>
      <w:outlineLvl w:val="1"/>
    </w:pPr>
    <w:rPr>
      <w:rFonts w:asciiTheme="minorHAnsi" w:eastAsiaTheme="minorEastAsia" w:hAnsiTheme="minorHAnsi"/>
      <w:b/>
    </w:rPr>
  </w:style>
  <w:style w:type="paragraph" w:customStyle="1" w:styleId="H3OCAshurst">
    <w:name w:val="H3OCAshurst"/>
    <w:basedOn w:val="NormalOCAshurst"/>
    <w:uiPriority w:val="1"/>
    <w:qFormat/>
    <w:rsid w:val="00A16450"/>
    <w:pPr>
      <w:numPr>
        <w:ilvl w:val="2"/>
        <w:numId w:val="47"/>
      </w:numPr>
      <w:outlineLvl w:val="2"/>
    </w:pPr>
    <w:rPr>
      <w:rFonts w:asciiTheme="minorHAnsi" w:eastAsiaTheme="minorEastAsia" w:hAnsiTheme="minorHAnsi"/>
    </w:rPr>
  </w:style>
  <w:style w:type="paragraph" w:customStyle="1" w:styleId="H4OCAshurst">
    <w:name w:val="H4OCAshurst"/>
    <w:basedOn w:val="NormalOCAshurst"/>
    <w:uiPriority w:val="1"/>
    <w:qFormat/>
    <w:rsid w:val="00A16450"/>
    <w:pPr>
      <w:numPr>
        <w:ilvl w:val="3"/>
        <w:numId w:val="47"/>
      </w:numPr>
      <w:outlineLvl w:val="3"/>
    </w:pPr>
    <w:rPr>
      <w:rFonts w:asciiTheme="minorHAnsi" w:eastAsiaTheme="minorEastAsia" w:hAnsiTheme="minorHAnsi"/>
    </w:rPr>
  </w:style>
  <w:style w:type="paragraph" w:customStyle="1" w:styleId="H5OCAshurst">
    <w:name w:val="H5OCAshurst"/>
    <w:basedOn w:val="NormalOCAshurst"/>
    <w:uiPriority w:val="1"/>
    <w:qFormat/>
    <w:rsid w:val="00A16450"/>
    <w:pPr>
      <w:numPr>
        <w:ilvl w:val="4"/>
        <w:numId w:val="47"/>
      </w:numPr>
      <w:outlineLvl w:val="4"/>
    </w:pPr>
    <w:rPr>
      <w:rFonts w:asciiTheme="minorHAnsi" w:eastAsiaTheme="minorEastAsia" w:hAnsiTheme="minorHAnsi"/>
    </w:rPr>
  </w:style>
  <w:style w:type="paragraph" w:customStyle="1" w:styleId="H6OCAshurst">
    <w:name w:val="H6OCAshurst"/>
    <w:basedOn w:val="NormalOCAshurst"/>
    <w:uiPriority w:val="38"/>
    <w:rsid w:val="00A16450"/>
    <w:pPr>
      <w:numPr>
        <w:ilvl w:val="5"/>
        <w:numId w:val="47"/>
      </w:numPr>
      <w:outlineLvl w:val="5"/>
    </w:pPr>
    <w:rPr>
      <w:rFonts w:asciiTheme="minorHAnsi" w:eastAsiaTheme="minorEastAsia" w:hAnsiTheme="minorHAnsi"/>
    </w:rPr>
  </w:style>
  <w:style w:type="paragraph" w:customStyle="1" w:styleId="H7OCAshurst">
    <w:name w:val="H7OCAshurst"/>
    <w:basedOn w:val="NormalOCAshurst"/>
    <w:uiPriority w:val="38"/>
    <w:rsid w:val="00A16450"/>
    <w:pPr>
      <w:numPr>
        <w:ilvl w:val="6"/>
        <w:numId w:val="47"/>
      </w:numPr>
      <w:outlineLvl w:val="6"/>
    </w:pPr>
    <w:rPr>
      <w:rFonts w:asciiTheme="minorHAnsi" w:eastAsiaTheme="minorEastAsia" w:hAnsiTheme="minorHAnsi"/>
    </w:rPr>
  </w:style>
  <w:style w:type="paragraph" w:customStyle="1" w:styleId="H8OCAshurst">
    <w:name w:val="H8OCAshurst"/>
    <w:basedOn w:val="NormalOCAshurst"/>
    <w:uiPriority w:val="38"/>
    <w:rsid w:val="00A16450"/>
    <w:pPr>
      <w:numPr>
        <w:ilvl w:val="7"/>
        <w:numId w:val="47"/>
      </w:numPr>
      <w:outlineLvl w:val="7"/>
    </w:pPr>
    <w:rPr>
      <w:rFonts w:asciiTheme="minorHAnsi" w:eastAsiaTheme="minorEastAsia"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13096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footer" Target="footer4.xml" Id="rId18" /><Relationship Type="http://schemas.openxmlformats.org/officeDocument/2006/relationships/settings" Target="settings.xml" Id="rId3" /><Relationship Type="http://schemas.openxmlformats.org/officeDocument/2006/relationships/footer" Target="footer6.xml" Id="rId21" /><Relationship Type="http://schemas.openxmlformats.org/officeDocument/2006/relationships/image" Target="media/image1.png" Id="rId7" /><Relationship Type="http://schemas.openxmlformats.org/officeDocument/2006/relationships/header" Target="header3.xml" Id="rId12" /><Relationship Type="http://schemas.openxmlformats.org/officeDocument/2006/relationships/header" Target="header5.xml" Id="rId17" /><Relationship Type="http://schemas.openxmlformats.org/officeDocument/2006/relationships/styles" Target="styles.xml" Id="rId2" /><Relationship Type="http://schemas.openxmlformats.org/officeDocument/2006/relationships/header" Target="header4.xml" Id="rId16" /><Relationship Type="http://schemas.openxmlformats.org/officeDocument/2006/relationships/header" Target="header6.xml" Id="rId20"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er" Target="footer2.xml" Id="rId11" /><Relationship Type="http://schemas.openxmlformats.org/officeDocument/2006/relationships/footnotes" Target="footnotes.xml" Id="rId5" /><Relationship Type="http://schemas.openxmlformats.org/officeDocument/2006/relationships/hyperlink" Target="https://www.sustainalytics.com/corporate-solutions/sustainable-finance-and-lending/published-projects/project/jpmorgan-chase-co/jpmorgan-chase-co.-sustainable-bond-framework-second-party-opinion-(2022)/jpmorgan-chase-co.-sustainable-bond-framework-second-party-opinion-(2022)" TargetMode="External" Id="rId15" /><Relationship Type="http://schemas.openxmlformats.org/officeDocument/2006/relationships/theme" Target="theme/theme1.xml" Id="rId23" /><Relationship Type="http://schemas.openxmlformats.org/officeDocument/2006/relationships/footer" Target="footer1.xml" Id="rId10" /><Relationship Type="http://schemas.openxmlformats.org/officeDocument/2006/relationships/footer" Target="footer5.xml" Id="rId19" /><Relationship Type="http://schemas.openxmlformats.org/officeDocument/2006/relationships/webSettings" Target="webSettings.xml" Id="rId4" /><Relationship Type="http://schemas.openxmlformats.org/officeDocument/2006/relationships/header" Target="header2.xml" Id="rId9" /><Relationship Type="http://schemas.openxmlformats.org/officeDocument/2006/relationships/hyperlink" Target="https://www.jpmorganchase.com/content/dam/jpmc/jpmorgan-chase-and-co/documents/jpmc-sustainable-bond-framework.pdf" TargetMode="External" Id="rId14" /><Relationship Type="http://schemas.openxmlformats.org/officeDocument/2006/relationships/fontTable" Target="fontTable.xml" Id="rId22" /><Relationship Type="http://schemas.openxmlformats.org/officeDocument/2006/relationships/customXml" Target="/customXML/item.xml" Id="imanage.xml"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Doc.dotx" TargetMode="External"/></Relationships>
</file>

<file path=word/theme/theme1.xml><?xml version="1.0" encoding="utf-8"?>
<a:theme xmlns:a="http://schemas.openxmlformats.org/drawingml/2006/main" name="Office Theme">
  <a:themeElements>
    <a:clrScheme name="Ashurst Documents">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0000FF"/>
      </a:hlink>
      <a:folHlink>
        <a:srgbClr val="919191"/>
      </a:folHlink>
    </a:clrScheme>
    <a:fontScheme name="_Ashurst">
      <a:maj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item.xml>��< ? x m l   v e r s i o n = " 1 . 0 "   e n c o d i n g = " u t f - 1 6 " ? >  
 < p r o p e r t i e s   x m l n s = " h t t p : / / w w w . i m a n a g e . c o m / w o r k / x m l s c h e m a " >  
     < d o c u m e n t i d > E U S _ O N P R E M ! 3 6 1 1 5 3 0 3 2 . 5 < / d o c u m e n t i d >  
     < s e n d e r i d > J N E L S O < / s e n d e r i d >  
     < s e n d e r e m a i l > J E S S I C A . N E L S O N @ A S H U R S T . C O M < / s e n d e r e m a i l >  
     < l a s t m o d i f i e d > 2 0 2 3 - 0 7 - 0 7 T 0 9 : 2 3 : 0 0 . 0 0 0 0 0 0 0 + 0 1 : 0 0 < / l a s t m o d i f i e d >  
     < d a t a b a s e > E U S _ O N P R E M < / d a t a b a s e >  
 < / p r o p e r t i e s > 
</file>

<file path=docProps/app.xml><?xml version="1.0" encoding="utf-8"?>
<Properties xmlns="http://schemas.openxmlformats.org/officeDocument/2006/extended-properties" xmlns:vt="http://schemas.openxmlformats.org/officeDocument/2006/docPropsVTypes">
  <Template>ashWordDoc</Template>
  <TotalTime>0</TotalTime>
  <Pages>47</Pages>
  <Words>30285</Words>
  <Characters>163311</Characters>
  <Application>Microsoft Office Word</Application>
  <DocSecurity>0</DocSecurity>
  <Lines>3888</Lines>
  <Paragraphs>3281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Nelson, Jessica 12536</cp:lastModifiedBy>
  <cp:revision>8</cp:revision>
  <dcterms:created xsi:type="dcterms:W3CDTF">2023-07-05T13:49:00Z</dcterms:created>
  <dcterms:modified xsi:type="dcterms:W3CDTF">2023-07-07T08:23:00Z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AuthorID">
    <vt:lpwstr>JYOW</vt:lpwstr>
  </property>
  <property fmtid="{D5CDD505-2E9C-101B-9397-08002B2CF9AE}" pid="3" name="AshurstAuthorName">
    <vt:lpwstr>Yow, Jeffrey 12265</vt:lpwstr>
  </property>
  <property fmtid="{D5CDD505-2E9C-101B-9397-08002B2CF9AE}" pid="4" name="AshurstClientDescription">
    <vt:lpwstr>J.P. Morgan Securities Plc</vt:lpwstr>
  </property>
  <property fmtid="{D5CDD505-2E9C-101B-9397-08002B2CF9AE}" pid="5" name="AshurstClientID">
    <vt:lpwstr>AshurstClientID</vt:lpwstr>
  </property>
  <property fmtid="{D5CDD505-2E9C-101B-9397-08002B2CF9AE}" pid="6" name="AshurstClientNumber">
    <vt:lpwstr>JPM27</vt:lpwstr>
  </property>
  <property fmtid="{D5CDD505-2E9C-101B-9397-08002B2CF9AE}" pid="7" name="AshurstDocNumber">
    <vt:lpwstr>361153032</vt:lpwstr>
  </property>
  <property fmtid="{D5CDD505-2E9C-101B-9397-08002B2CF9AE}" pid="8" name="AshurstDocRef">
    <vt:lpwstr>09:23\07 July 2023\EUS_ONPREM\JYOW\361153032.05</vt:lpwstr>
  </property>
  <property fmtid="{D5CDD505-2E9C-101B-9397-08002B2CF9AE}" pid="9" name="AshurstDocRefCoverPage">
    <vt:lpwstr>AshurstDocRefCoverPage</vt:lpwstr>
  </property>
  <property fmtid="{D5CDD505-2E9C-101B-9397-08002B2CF9AE}" pid="10" name="AshurstDocType">
    <vt:lpwstr/>
  </property>
  <property fmtid="{D5CDD505-2E9C-101B-9397-08002B2CF9AE}" pid="11" name="AshurstFeeEarnerInitials">
    <vt:lpwstr>FE Initials</vt:lpwstr>
  </property>
  <property fmtid="{D5CDD505-2E9C-101B-9397-08002B2CF9AE}" pid="12" name="AshurstFileNumber">
    <vt:lpwstr>JPM27.1000-173-666</vt:lpwstr>
  </property>
  <property fmtid="{D5CDD505-2E9C-101B-9397-08002B2CF9AE}" pid="13" name="AshurstLibraryName">
    <vt:lpwstr>EUS_ONPREM</vt:lpwstr>
  </property>
  <property fmtid="{D5CDD505-2E9C-101B-9397-08002B2CF9AE}" pid="14" name="AshurstMatterDescription">
    <vt:lpwstr>(i) Supplement No. 11 to the 1 July 2022 Collateralised Base Prospectus, (ii) Supplement No. 2 to the 20 April 2023 Offering Circular, (iii) Supplement No. 3 to the 20 April 2023 Base Prospectus, (iv) Supplement No. 2 to 19 April 2023 JPMorgan C</vt:lpwstr>
  </property>
  <property fmtid="{D5CDD505-2E9C-101B-9397-08002B2CF9AE}" pid="15" name="AshurstMatterID">
    <vt:lpwstr>AshurstMatterID</vt:lpwstr>
  </property>
  <property fmtid="{D5CDD505-2E9C-101B-9397-08002B2CF9AE}" pid="16" name="AshurstMatterNumber">
    <vt:lpwstr>1000-173-666</vt:lpwstr>
  </property>
  <property fmtid="{D5CDD505-2E9C-101B-9397-08002B2CF9AE}" pid="17" name="AshurstOurRef">
    <vt:lpwstr>JYOW\JPM27.1000-173-666</vt:lpwstr>
  </property>
  <property fmtid="{D5CDD505-2E9C-101B-9397-08002B2CF9AE}" pid="18" name="AshurstPartnerInitials">
    <vt:lpwstr>Partner Initials</vt:lpwstr>
  </property>
  <property fmtid="{D5CDD505-2E9C-101B-9397-08002B2CF9AE}" pid="19" name="AshurstTypistID">
    <vt:lpwstr/>
  </property>
  <property fmtid="{D5CDD505-2E9C-101B-9397-08002B2CF9AE}" pid="20" name="AshurstTypistName">
    <vt:lpwstr/>
  </property>
  <property fmtid="{D5CDD505-2E9C-101B-9397-08002B2CF9AE}" pid="21" name="AshurstVersionNumber">
    <vt:lpwstr/>
  </property>
  <property fmtid="{D5CDD505-2E9C-101B-9397-08002B2CF9AE}" pid="22" name="document number">
    <vt:lpwstr>\</vt:lpwstr>
  </property>
</Properties>
</file>